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99710" cy="283845"/>
            <wp:effectExtent l="0" t="0" r="15240" b="1905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/>
        <w:ind w:left="0"/>
        <w:jc w:val="center"/>
        <w:textAlignment w:val="auto"/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  <w:lang w:val="en-US" w:eastAsia="zh-CN"/>
        </w:rPr>
        <w:t>高速、快速路预成形标线胶带（平板）</w:t>
      </w:r>
    </w:p>
    <w:p>
      <w:pPr>
        <w:pStyle w:val="3"/>
        <w:spacing w:before="292" w:line="324" w:lineRule="exact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产品型号： </w:t>
      </w:r>
      <w:r>
        <w:rPr>
          <w:b w:val="0"/>
          <w:color w:val="231F20"/>
        </w:rPr>
        <w:t>PL7000 型</w:t>
      </w:r>
    </w:p>
    <w:p>
      <w:pPr>
        <w:pStyle w:val="3"/>
        <w:spacing w:before="126" w:line="192" w:lineRule="auto"/>
        <w:ind w:left="1112" w:right="38" w:hanging="953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产品简介： </w:t>
      </w:r>
      <w:r>
        <w:rPr>
          <w:b w:val="0"/>
          <w:color w:val="231F20"/>
        </w:rPr>
        <w:t>PL7000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预成形标线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胶带</w:t>
      </w:r>
      <w:r>
        <w:rPr>
          <w:b w:val="0"/>
          <w:color w:val="231F20"/>
        </w:rPr>
        <w:t>采用合成橡胶预制成型，具有良好的柔韧性和拉伸强度；表面涂覆有高折射率的反光玻璃微珠，具有超强夜间反光性。同时，采用高性能涂料，具有极佳的耐磨性。底层是粘结力强、耐候性好的</w:t>
      </w:r>
      <w:r>
        <w:rPr>
          <w:rFonts w:hint="eastAsia"/>
          <w:b w:val="0"/>
          <w:color w:val="auto"/>
          <w:highlight w:val="none"/>
          <w:lang w:val="en-US" w:eastAsia="zh-CN"/>
        </w:rPr>
        <w:t>特殊配方的</w:t>
      </w:r>
      <w:r>
        <w:rPr>
          <w:b w:val="0"/>
          <w:color w:val="auto"/>
          <w:highlight w:val="none"/>
        </w:rPr>
        <w:t>胶</w:t>
      </w:r>
      <w:r>
        <w:rPr>
          <w:b w:val="0"/>
          <w:color w:val="231F20"/>
        </w:rPr>
        <w:t>粘剂，施工方便，使用寿命长，是一种新型的道路交通标识。</w:t>
      </w:r>
    </w:p>
    <w:p>
      <w:pPr>
        <w:pStyle w:val="3"/>
        <w:spacing w:before="62"/>
        <w:ind w:left="1240" w:leftChars="76" w:hanging="1080" w:hangingChars="60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产品特性： </w:t>
      </w:r>
      <w:r>
        <w:rPr>
          <w:b w:val="0"/>
          <w:color w:val="231F20"/>
        </w:rPr>
        <w:t>超强夜间反光性、防滑性；良好的柔韧性；优异的耐候性；施工快捷，清除方便；良好的</w:t>
      </w:r>
      <w:r>
        <w:rPr>
          <w:rFonts w:hint="eastAsia"/>
          <w:b w:val="0"/>
          <w:color w:val="231F20"/>
          <w:lang w:eastAsia="zh-CN"/>
        </w:rPr>
        <w:t>自</w:t>
      </w:r>
      <w:r>
        <w:rPr>
          <w:b w:val="0"/>
          <w:color w:val="231F20"/>
        </w:rPr>
        <w:t>洁性。</w:t>
      </w:r>
    </w:p>
    <w:p>
      <w:pPr>
        <w:pStyle w:val="3"/>
        <w:spacing w:before="93" w:line="189" w:lineRule="auto"/>
        <w:ind w:left="1112" w:right="132" w:hanging="953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应用范围： </w:t>
      </w:r>
      <w:r>
        <w:rPr>
          <w:b w:val="0"/>
          <w:color w:val="231F20"/>
        </w:rPr>
        <w:t>各等级道路交通标线；文字、箭头、图形等；危险地段警示；各类不易清洁的公路隧道、码头、机场、收费站、停车场等反光标识。</w:t>
      </w:r>
    </w:p>
    <w:p>
      <w:pPr>
        <w:pStyle w:val="3"/>
        <w:spacing w:before="289"/>
        <w:ind w:left="160"/>
        <w:rPr>
          <w:rFonts w:hint="default" w:ascii="思源黑体 CN Regular" w:eastAsia="思源黑体 CN Regular"/>
          <w:lang w:val="en-US" w:eastAsia="zh-CN"/>
        </w:rPr>
      </w:pPr>
      <w:r>
        <w:rPr>
          <w:rFonts w:hint="eastAsia" w:ascii="思源黑体 CN Regular" w:eastAsia="思源黑体 CN Regular"/>
          <w:color w:val="231F20"/>
        </w:rPr>
        <w:t>性能指标：</w:t>
      </w:r>
      <w:r>
        <w:rPr>
          <w:rFonts w:hint="eastAsia" w:ascii="思源黑体 CN Regular" w:eastAsia="思源黑体 CN Regular"/>
          <w:color w:val="231F20"/>
          <w:lang w:val="en-US" w:eastAsia="zh-CN"/>
        </w:rPr>
        <w:t xml:space="preserve">     </w:t>
      </w:r>
    </w:p>
    <w:tbl>
      <w:tblPr>
        <w:tblStyle w:val="4"/>
        <w:tblpPr w:leftFromText="180" w:rightFromText="180" w:vertAnchor="text" w:horzAnchor="page" w:tblpX="1626" w:tblpY="92"/>
        <w:tblOverlap w:val="never"/>
        <w:tblW w:w="0" w:type="auto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762"/>
        <w:gridCol w:w="1942"/>
        <w:gridCol w:w="1946"/>
        <w:gridCol w:w="1946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  <w:vMerge w:val="restart"/>
          </w:tcPr>
          <w:p>
            <w:pPr>
              <w:pStyle w:val="6"/>
              <w:spacing w:before="283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性质</w:t>
            </w:r>
          </w:p>
        </w:tc>
        <w:tc>
          <w:tcPr>
            <w:tcW w:w="3704" w:type="dxa"/>
            <w:gridSpan w:val="2"/>
          </w:tcPr>
          <w:p>
            <w:pPr>
              <w:pStyle w:val="7"/>
              <w:bidi w:val="0"/>
            </w:pPr>
            <w:r>
              <w:t>典型数据</w:t>
            </w:r>
          </w:p>
        </w:tc>
        <w:tc>
          <w:tcPr>
            <w:tcW w:w="1946" w:type="dxa"/>
            <w:vMerge w:val="restart"/>
          </w:tcPr>
          <w:p>
            <w:pPr>
              <w:pStyle w:val="6"/>
              <w:spacing w:before="283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单位</w:t>
            </w:r>
          </w:p>
        </w:tc>
        <w:tc>
          <w:tcPr>
            <w:tcW w:w="1946" w:type="dxa"/>
            <w:vMerge w:val="restart"/>
          </w:tcPr>
          <w:p>
            <w:pPr>
              <w:pStyle w:val="6"/>
              <w:spacing w:before="283"/>
              <w:ind w:left="633" w:right="0"/>
              <w:jc w:val="left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测试方法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7001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7002</w:t>
            </w:r>
          </w:p>
        </w:tc>
        <w:tc>
          <w:tcPr>
            <w:tcW w:w="1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颜色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白色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黄色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厚度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1.9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1.9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mm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 7125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逆反射系数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500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300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mcd/m</w:t>
            </w:r>
            <w:r>
              <w:rPr>
                <w:b w:val="0"/>
                <w:color w:val="231F20"/>
                <w:position w:val="6"/>
                <w:sz w:val="10"/>
              </w:rPr>
              <w:t>2</w:t>
            </w:r>
            <w:r>
              <w:rPr>
                <w:b w:val="0"/>
                <w:color w:val="231F20"/>
                <w:sz w:val="16"/>
              </w:rPr>
              <w:t>/lux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耐水性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耐碱性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耐磨性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mg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粘结性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N/25mm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抗滑性</w:t>
            </w:r>
          </w:p>
        </w:tc>
        <w:tc>
          <w:tcPr>
            <w:tcW w:w="1762" w:type="dxa"/>
          </w:tcPr>
          <w:p>
            <w:pPr>
              <w:pStyle w:val="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45</w:t>
            </w:r>
          </w:p>
        </w:tc>
        <w:tc>
          <w:tcPr>
            <w:tcW w:w="1942" w:type="dxa"/>
          </w:tcPr>
          <w:p>
            <w:pPr>
              <w:pStyle w:val="6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45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BPN</w:t>
            </w:r>
          </w:p>
        </w:tc>
        <w:tc>
          <w:tcPr>
            <w:tcW w:w="1946" w:type="dxa"/>
          </w:tcPr>
          <w:p>
            <w:pPr>
              <w:pStyle w:val="6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</w:tbl>
    <w:p/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rFonts w:hint="eastAsia" w:ascii="思源黑体 CN Regular" w:eastAsia="思源黑体 CN Regular"/>
          <w:color w:val="231F20"/>
        </w:rPr>
      </w:pPr>
    </w:p>
    <w:p>
      <w:pPr>
        <w:pStyle w:val="3"/>
        <w:spacing w:line="342" w:lineRule="exact"/>
        <w:ind w:left="160"/>
        <w:rPr>
          <w:b w:val="0"/>
        </w:rPr>
      </w:pPr>
      <w: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4594225</wp:posOffset>
            </wp:positionH>
            <wp:positionV relativeFrom="paragraph">
              <wp:posOffset>103505</wp:posOffset>
            </wp:positionV>
            <wp:extent cx="2292985" cy="1556385"/>
            <wp:effectExtent l="0" t="0" r="12065" b="5715"/>
            <wp:wrapNone/>
            <wp:docPr id="2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9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思源黑体 CN Regular" w:eastAsia="思源黑体 CN Regular"/>
          <w:color w:val="231F20"/>
        </w:rPr>
        <w:t xml:space="preserve">常规规格： </w:t>
      </w:r>
      <w:r>
        <w:rPr>
          <w:b w:val="0"/>
          <w:color w:val="231F20"/>
        </w:rPr>
        <w:t>标准长度：33m，50m</w:t>
      </w:r>
    </w:p>
    <w:p>
      <w:pPr>
        <w:pStyle w:val="3"/>
        <w:spacing w:before="6" w:line="218" w:lineRule="auto"/>
        <w:ind w:left="1112" w:right="3666"/>
        <w:rPr>
          <w:b w:val="0"/>
          <w:color w:val="231F20"/>
        </w:rPr>
      </w:pPr>
      <w:r>
        <w:rPr>
          <w:b w:val="0"/>
          <w:color w:val="231F20"/>
        </w:rPr>
        <w:t>标准宽度：10cm，15cm，20cm，40cm，45cm，可根据用户需要定制。颜色：白色、黄色</w:t>
      </w:r>
    </w:p>
    <w:p>
      <w:pPr>
        <w:pStyle w:val="3"/>
        <w:spacing w:before="293" w:line="218" w:lineRule="auto"/>
        <w:ind w:left="1112" w:right="4289" w:hanging="953"/>
        <w:jc w:val="both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使用方法： </w:t>
      </w:r>
      <w:r>
        <w:rPr>
          <w:b w:val="0"/>
          <w:color w:val="231F20"/>
        </w:rPr>
        <w:t>分为嵌入式施工和表层式施工，配合 P120 底涂剂使用。在新路面的状况下每公斤底涂剂可铺设 3-5 平方米的公路反光胶带，实际使用量主要是根据路面状况而定。请参阅施工说明。</w:t>
      </w:r>
    </w:p>
    <w:p>
      <w:pPr>
        <w:pStyle w:val="3"/>
        <w:tabs>
          <w:tab w:val="left" w:pos="1112"/>
        </w:tabs>
        <w:spacing w:before="193"/>
        <w:ind w:left="160"/>
        <w:rPr>
          <w:rFonts w:hint="eastAsia"/>
          <w:b w:val="0"/>
          <w:color w:val="231F20"/>
          <w:lang w:val="en-US" w:eastAsia="zh-CN"/>
        </w:rPr>
      </w:pPr>
      <w:r>
        <w:rPr>
          <w:rFonts w:hint="eastAsia" w:ascii="思源黑体 CN Regular" w:eastAsia="思源黑体 CN Regular"/>
          <w:color w:val="231F20"/>
          <w:position w:val="1"/>
        </w:rPr>
        <w:t>存储期：</w:t>
      </w:r>
      <w:r>
        <w:rPr>
          <w:rFonts w:hint="eastAsia" w:ascii="思源黑体 CN Regular" w:eastAsia="思源黑体 CN Regular"/>
          <w:color w:val="231F20"/>
          <w:position w:val="1"/>
        </w:rPr>
        <w:tab/>
      </w:r>
      <w:r>
        <w:rPr>
          <w:b w:val="0"/>
          <w:color w:val="231F20"/>
        </w:rPr>
        <w:t>在常温状况下，储存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24</w:t>
      </w:r>
      <w:r>
        <w:rPr>
          <w:b w:val="0"/>
          <w:color w:val="231F20"/>
          <w:spacing w:val="5"/>
        </w:rPr>
        <w:t xml:space="preserve"> </w:t>
      </w:r>
      <w:r>
        <w:rPr>
          <w:b w:val="0"/>
          <w:color w:val="231F20"/>
        </w:rPr>
        <w:t>个月。</w:t>
      </w:r>
      <w:r>
        <w:rPr>
          <w:rFonts w:hint="eastAsia"/>
          <w:b w:val="0"/>
          <w:color w:val="231F20"/>
          <w:lang w:val="en-US" w:eastAsia="zh-CN"/>
        </w:rPr>
        <w:t xml:space="preserve"> </w:t>
      </w:r>
    </w:p>
    <w:p>
      <w:pPr>
        <w:pStyle w:val="3"/>
        <w:tabs>
          <w:tab w:val="left" w:pos="1112"/>
        </w:tabs>
        <w:spacing w:before="193"/>
        <w:ind w:left="160"/>
        <w:rPr>
          <w:rFonts w:hint="default" w:eastAsia="思源黑体 CN Light"/>
          <w:b w:val="0"/>
          <w:lang w:val="en-US" w:eastAsia="zh-CN"/>
        </w:rPr>
      </w:pPr>
      <w:r>
        <w:rPr>
          <w:rFonts w:hint="eastAsia"/>
          <w:b w:val="0"/>
          <w:color w:val="231F20"/>
          <w:lang w:val="en-US" w:eastAsia="zh-CN"/>
        </w:rPr>
        <w:t xml:space="preserve">以上所有数据及信息是基于我们的测试结果，用户在使用之前必须针对所期望的用途确定产品的适用性。                      </w:t>
      </w:r>
    </w:p>
    <w:p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Heavy">
    <w:altName w:val="黑体"/>
    <w:panose1 w:val="020B0A00000000000000"/>
    <w:charset w:val="80"/>
    <w:family w:val="swiss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0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0"/>
    <w:family w:val="swiss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0"/>
    <w:family w:val="swiss"/>
    <w:pitch w:val="default"/>
    <w:sig w:usb0="00000000" w:usb1="00000000" w:usb2="00000016" w:usb3="00000000" w:csb0="60060107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0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C423F"/>
    <w:rsid w:val="1B056CF4"/>
    <w:rsid w:val="33DE5935"/>
    <w:rsid w:val="411E3CDB"/>
    <w:rsid w:val="66471D62"/>
    <w:rsid w:val="6B3E7065"/>
    <w:rsid w:val="7B8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92"/>
      <w:ind w:left="160"/>
      <w:outlineLvl w:val="2"/>
    </w:pPr>
    <w:rPr>
      <w:rFonts w:ascii="思源黑体 CN Heavy" w:hAnsi="思源黑体 CN Heavy" w:eastAsia="思源黑体 CN Heavy" w:cs="思源黑体 CN Heavy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思源黑体 CN Light" w:hAnsi="思源黑体 CN Light" w:eastAsia="思源黑体 CN Light" w:cs="思源黑体 CN Light"/>
      <w:sz w:val="18"/>
      <w:szCs w:val="18"/>
      <w:lang w:val="en-US" w:eastAsia="en-US" w:bidi="en-US"/>
    </w:rPr>
  </w:style>
  <w:style w:type="paragraph" w:customStyle="1" w:styleId="6">
    <w:name w:val="Table Paragraph"/>
    <w:basedOn w:val="1"/>
    <w:qFormat/>
    <w:uiPriority w:val="1"/>
    <w:pPr>
      <w:spacing w:before="58"/>
      <w:ind w:left="443" w:right="429"/>
      <w:jc w:val="center"/>
    </w:pPr>
    <w:rPr>
      <w:rFonts w:ascii="思源黑体 CN Normal" w:hAnsi="思源黑体 CN Normal" w:eastAsia="思源黑体 CN Normal" w:cs="思源黑体 CN Normal"/>
      <w:lang w:val="en-US" w:eastAsia="en-US" w:bidi="en-US"/>
    </w:rPr>
  </w:style>
  <w:style w:type="paragraph" w:styleId="7">
    <w:name w:val="List Paragraph"/>
    <w:basedOn w:val="1"/>
    <w:qFormat/>
    <w:uiPriority w:val="1"/>
    <w:pPr>
      <w:ind w:left="1293" w:hanging="182"/>
    </w:pPr>
    <w:rPr>
      <w:rFonts w:ascii="思源黑体 CN Light" w:hAnsi="思源黑体 CN Light" w:eastAsia="思源黑体 CN Light" w:cs="思源黑体 CN Light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