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drawing>
          <wp:inline distT="0" distB="0" distL="0" distR="0">
            <wp:extent cx="6505575" cy="293370"/>
            <wp:effectExtent l="0" t="0" r="9525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普通公路预成形标线胶带（凸起）</w:t>
      </w:r>
      <w:r>
        <w:drawing>
          <wp:anchor distT="0" distB="0" distL="0" distR="0" simplePos="0" relativeHeight="252533760" behindDoc="0" locked="0" layoutInCell="1" allowOverlap="1">
            <wp:simplePos x="0" y="0"/>
            <wp:positionH relativeFrom="page">
              <wp:posOffset>12489815</wp:posOffset>
            </wp:positionH>
            <wp:positionV relativeFrom="paragraph">
              <wp:posOffset>5473065</wp:posOffset>
            </wp:positionV>
            <wp:extent cx="2109470" cy="1341120"/>
            <wp:effectExtent l="0" t="0" r="5080" b="11430"/>
            <wp:wrapNone/>
            <wp:docPr id="26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324" w:lineRule="exact"/>
        <w:ind w:left="160"/>
        <w:rPr>
          <w:b w:val="0"/>
          <w:color w:val="231F20"/>
        </w:rPr>
      </w:pPr>
      <w:r>
        <w:rPr>
          <w:rFonts w:hint="eastAsia" w:ascii="思源黑体 CN Regular" w:eastAsia="思源黑体 CN Regular"/>
          <w:color w:val="231F20"/>
        </w:rPr>
        <w:t xml:space="preserve">产品型号： </w:t>
      </w:r>
      <w:r>
        <w:rPr>
          <w:b w:val="0"/>
          <w:color w:val="231F20"/>
        </w:rPr>
        <w:t>PL10000 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line="192" w:lineRule="auto"/>
        <w:ind w:left="1111" w:right="0" w:hanging="952"/>
        <w:jc w:val="both"/>
        <w:textAlignment w:val="auto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>产品简介：</w:t>
      </w:r>
      <w:r>
        <w:rPr>
          <w:b w:val="0"/>
          <w:color w:val="auto"/>
        </w:rPr>
        <w:t xml:space="preserve">PL10000 </w:t>
      </w:r>
      <w:r>
        <w:rPr>
          <w:rFonts w:hint="eastAsia"/>
          <w:b w:val="0"/>
          <w:color w:val="auto"/>
          <w:lang w:val="en-US" w:eastAsia="zh-CN"/>
        </w:rPr>
        <w:t>预成形标线</w:t>
      </w:r>
      <w:r>
        <w:rPr>
          <w:b w:val="0"/>
          <w:color w:val="auto"/>
        </w:rPr>
        <w:t>胶带采用独特工艺预制成型，具有优异的交通控制能力，立体反光性能极佳；采用高质量粘结涂料，凸起单元表面涂覆有高折射率的反光单元，反光性能好。具有良好的耐磨性。车辆行驶在胶带表面时有节奏的震动感觉。底层是粘结力强、耐候性好的胶黏剂。</w:t>
      </w:r>
    </w:p>
    <w:p>
      <w:pPr>
        <w:pStyle w:val="2"/>
        <w:spacing w:before="62"/>
        <w:ind w:left="160"/>
        <w:jc w:val="both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产品特性： </w:t>
      </w:r>
      <w:r>
        <w:rPr>
          <w:b w:val="0"/>
          <w:color w:val="231F20"/>
        </w:rPr>
        <w:t>超强夜间反光性、防滑性；有节奏的震动感；优异的耐候性；施工快捷，清除方便；立体全方位反光。</w:t>
      </w:r>
    </w:p>
    <w:p>
      <w:pPr>
        <w:pStyle w:val="2"/>
        <w:spacing w:before="91" w:line="192" w:lineRule="auto"/>
        <w:ind w:left="1112" w:right="871" w:hanging="953"/>
        <w:jc w:val="both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应用范围： </w:t>
      </w:r>
      <w:r>
        <w:rPr>
          <w:b w:val="0"/>
          <w:color w:val="231F20"/>
        </w:rPr>
        <w:t>人行横道，车行道边缘线；进入城市人口密集路段前的交通警戒；小区、码头、机场、收费站、停车场等需控制行车速度的区域；厂区内车辆低速行驶地段；公路隧道内的车行道边缘线；公路减速标线；互通式立体交叉匝道出入口路段； 公路上有拐弯、道路变窄、路面有障碍物等危险路段。</w:t>
      </w:r>
    </w:p>
    <w:p>
      <w:pPr>
        <w:pStyle w:val="2"/>
        <w:spacing w:before="285"/>
        <w:ind w:left="160"/>
        <w:rPr>
          <w:rFonts w:hint="eastAsia" w:ascii="思源黑体 CN Regular" w:eastAsia="思源黑体 CN Regular"/>
        </w:r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8621395</wp:posOffset>
                </wp:positionH>
                <wp:positionV relativeFrom="paragraph">
                  <wp:posOffset>245745</wp:posOffset>
                </wp:positionV>
                <wp:extent cx="5840095" cy="25812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95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231F20" w:sz="6" w:space="0"/>
                                <w:left w:val="single" w:color="231F20" w:sz="6" w:space="0"/>
                                <w:bottom w:val="single" w:color="231F20" w:sz="6" w:space="0"/>
                                <w:right w:val="single" w:color="231F20" w:sz="6" w:space="0"/>
                                <w:insideH w:val="single" w:color="231F20" w:sz="6" w:space="0"/>
                                <w:insideV w:val="single" w:color="231F2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28"/>
                              <w:gridCol w:w="1728"/>
                              <w:gridCol w:w="1903"/>
                              <w:gridCol w:w="1908"/>
                              <w:gridCol w:w="1908"/>
                            </w:tblGrid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spacing w:before="283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性质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ind w:left="1475" w:right="146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典型数据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spacing w:before="283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spacing w:before="283"/>
                                    <w:ind w:left="633" w:right="0"/>
                                    <w:jc w:val="left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测试方法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PL 10001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PL 10002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4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颜色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白色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黄色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厚度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hint="eastAsia" w:eastAsia="思源黑体 CN Normal"/>
                                      <w:b w:val="0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color w:val="231F20"/>
                                      <w:sz w:val="16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rFonts w:hint="eastAsia" w:eastAsia="思源黑体 CN Normal"/>
                                      <w:b w:val="0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color w:val="231F20"/>
                                      <w:sz w:val="16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 7125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逆反射系数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hint="default" w:eastAsia="思源黑体 CN Normal"/>
                                      <w:b w:val="0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sz w:val="16"/>
                                      <w:lang w:val="en-US" w:eastAsia="zh-CN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rFonts w:hint="default" w:eastAsia="思源黑体 CN Normal"/>
                                      <w:b w:val="0"/>
                                      <w:sz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sz w:val="16"/>
                                      <w:lang w:val="en-US" w:eastAsia="zh-CN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mcd/m</w:t>
                                  </w:r>
                                  <w:r>
                                    <w:rPr>
                                      <w:b w:val="0"/>
                                      <w:color w:val="231F20"/>
                                      <w:position w:val="6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/lux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GB/T24717-2009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耐水性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GB/T24717-2009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耐碱性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GB/T24717-2009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耐磨性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GB/T24717-2009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粘结性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N/25mm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GB/T24717-2009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8.85pt;margin-top:19.35pt;height:203.25pt;width:459.85pt;mso-position-horizontal-relative:page;z-index:251698176;mso-width-relative:page;mso-height-relative:page;" filled="f" stroked="f" coordsize="21600,21600" o:gfxdata="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Ikln7bAAAADAEAAA8AAAAAAAAAAQAgAAAAIgAAAGRycy9kb3ducmV2Lnht&#10;bFBLAQIUABQAAAAIAIdO4kDWSRfTvQEAAHU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231F20" w:sz="6" w:space="0"/>
                          <w:left w:val="single" w:color="231F20" w:sz="6" w:space="0"/>
                          <w:bottom w:val="single" w:color="231F20" w:sz="6" w:space="0"/>
                          <w:right w:val="single" w:color="231F20" w:sz="6" w:space="0"/>
                          <w:insideH w:val="single" w:color="231F20" w:sz="6" w:space="0"/>
                          <w:insideV w:val="single" w:color="231F2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28"/>
                        <w:gridCol w:w="1728"/>
                        <w:gridCol w:w="1903"/>
                        <w:gridCol w:w="1908"/>
                        <w:gridCol w:w="1908"/>
                      </w:tblGrid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  <w:vMerge w:val="restart"/>
                          </w:tcPr>
                          <w:p>
                            <w:pPr>
                              <w:pStyle w:val="5"/>
                              <w:spacing w:before="283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性质</w:t>
                            </w:r>
                          </w:p>
                        </w:tc>
                        <w:tc>
                          <w:tcPr>
                            <w:tcW w:w="3631" w:type="dxa"/>
                            <w:gridSpan w:val="2"/>
                          </w:tcPr>
                          <w:p>
                            <w:pPr>
                              <w:pStyle w:val="5"/>
                              <w:ind w:left="1475" w:right="146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典型数据</w:t>
                            </w:r>
                          </w:p>
                        </w:tc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5"/>
                              <w:spacing w:before="283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5"/>
                              <w:spacing w:before="283"/>
                              <w:ind w:left="633" w:right="0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测试方法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PL 10001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PL 10002</w:t>
                            </w:r>
                          </w:p>
                        </w:tc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4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颜色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白色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黄色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厚度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rFonts w:hint="eastAsia" w:eastAsia="思源黑体 CN Normal"/>
                                <w:b w:val="0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 w:val="0"/>
                                <w:color w:val="231F20"/>
                                <w:sz w:val="16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rFonts w:hint="eastAsia" w:eastAsia="思源黑体 CN Normal"/>
                                <w:b w:val="0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 w:val="0"/>
                                <w:color w:val="231F20"/>
                                <w:sz w:val="16"/>
                                <w:lang w:val="en-US" w:eastAsia="zh-C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 7125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逆反射系数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rFonts w:hint="default" w:eastAsia="思源黑体 CN Normal"/>
                                <w:b w:val="0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16"/>
                                <w:lang w:val="en-US" w:eastAsia="zh-CN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rFonts w:hint="default" w:eastAsia="思源黑体 CN Normal"/>
                                <w:b w:val="0"/>
                                <w:sz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16"/>
                                <w:lang w:val="en-US" w:eastAsia="zh-CN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mcd/m</w:t>
                            </w:r>
                            <w:r>
                              <w:rPr>
                                <w:b w:val="0"/>
                                <w:color w:val="231F20"/>
                                <w:position w:val="6"/>
                                <w:sz w:val="10"/>
                              </w:rPr>
                              <w:t>2</w:t>
                            </w: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/lux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GB/T24717-2009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耐水性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GB/T24717-2009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耐碱性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GB/T24717-2009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耐磨性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GB/T24717-2009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粘结性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N/25mm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GB/T24717-2009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思源黑体 CN Regular" w:eastAsia="思源黑体 CN Regular"/>
          <w:color w:val="231F20"/>
        </w:rPr>
        <w:t>性能指标：</w:t>
      </w:r>
    </w:p>
    <w:tbl>
      <w:tblPr>
        <w:tblStyle w:val="3"/>
        <w:tblpPr w:leftFromText="180" w:rightFromText="180" w:vertAnchor="text" w:horzAnchor="page" w:tblpX="1866" w:tblpY="319"/>
        <w:tblOverlap w:val="never"/>
        <w:tblW w:w="0" w:type="auto"/>
        <w:tblInd w:w="0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728"/>
        <w:gridCol w:w="1903"/>
        <w:gridCol w:w="1908"/>
        <w:gridCol w:w="1908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  <w:vMerge w:val="restart"/>
          </w:tcPr>
          <w:p>
            <w:pPr>
              <w:pStyle w:val="5"/>
              <w:spacing w:before="283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性质</w:t>
            </w:r>
          </w:p>
        </w:tc>
        <w:tc>
          <w:tcPr>
            <w:tcW w:w="3631" w:type="dxa"/>
            <w:gridSpan w:val="2"/>
          </w:tcPr>
          <w:p>
            <w:pPr>
              <w:pStyle w:val="5"/>
              <w:ind w:left="1475" w:right="146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典型数据</w:t>
            </w:r>
          </w:p>
        </w:tc>
        <w:tc>
          <w:tcPr>
            <w:tcW w:w="1908" w:type="dxa"/>
            <w:vMerge w:val="restart"/>
          </w:tcPr>
          <w:p>
            <w:pPr>
              <w:pStyle w:val="5"/>
              <w:spacing w:before="283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单位</w:t>
            </w:r>
          </w:p>
        </w:tc>
        <w:tc>
          <w:tcPr>
            <w:tcW w:w="1908" w:type="dxa"/>
            <w:vMerge w:val="restart"/>
          </w:tcPr>
          <w:p>
            <w:pPr>
              <w:pStyle w:val="5"/>
              <w:spacing w:before="283"/>
              <w:ind w:left="633" w:right="0"/>
              <w:jc w:val="left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测试方法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PL 10001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PL 10002</w:t>
            </w:r>
          </w:p>
        </w:tc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颜色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白色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黄色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厚度</w:t>
            </w:r>
          </w:p>
        </w:tc>
        <w:tc>
          <w:tcPr>
            <w:tcW w:w="1728" w:type="dxa"/>
          </w:tcPr>
          <w:p>
            <w:pPr>
              <w:pStyle w:val="5"/>
              <w:rPr>
                <w:rFonts w:hint="eastAsia" w:eastAsia="思源黑体 CN Normal"/>
                <w:b w:val="0"/>
                <w:sz w:val="16"/>
                <w:lang w:val="en-US" w:eastAsia="zh-CN"/>
              </w:rPr>
            </w:pPr>
            <w:r>
              <w:rPr>
                <w:b w:val="0"/>
                <w:color w:val="231F20"/>
                <w:sz w:val="16"/>
              </w:rPr>
              <w:t>2.</w:t>
            </w:r>
            <w:r>
              <w:rPr>
                <w:rFonts w:hint="eastAsia"/>
                <w:b w:val="0"/>
                <w:color w:val="231F20"/>
                <w:sz w:val="16"/>
                <w:lang w:val="en-US" w:eastAsia="zh-CN"/>
              </w:rPr>
              <w:t>3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rFonts w:hint="eastAsia" w:eastAsia="思源黑体 CN Normal"/>
                <w:b w:val="0"/>
                <w:sz w:val="16"/>
                <w:lang w:val="en-US" w:eastAsia="zh-CN"/>
              </w:rPr>
            </w:pPr>
            <w:r>
              <w:rPr>
                <w:b w:val="0"/>
                <w:color w:val="231F20"/>
                <w:sz w:val="16"/>
              </w:rPr>
              <w:t>2.</w:t>
            </w:r>
            <w:r>
              <w:rPr>
                <w:rFonts w:hint="eastAsia"/>
                <w:b w:val="0"/>
                <w:color w:val="231F20"/>
                <w:sz w:val="16"/>
                <w:lang w:val="en-US" w:eastAsia="zh-CN"/>
              </w:rPr>
              <w:t>3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mm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 7125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逆反射系数</w:t>
            </w:r>
          </w:p>
        </w:tc>
        <w:tc>
          <w:tcPr>
            <w:tcW w:w="1728" w:type="dxa"/>
          </w:tcPr>
          <w:p>
            <w:pPr>
              <w:pStyle w:val="5"/>
              <w:rPr>
                <w:rFonts w:hint="default" w:eastAsia="思源黑体 CN Normal"/>
                <w:b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sz w:val="16"/>
                <w:lang w:val="en-US" w:eastAsia="zh-CN"/>
              </w:rPr>
              <w:t>250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rFonts w:hint="default" w:eastAsia="思源黑体 CN Normal"/>
                <w:b w:val="0"/>
                <w:sz w:val="16"/>
                <w:lang w:val="en-US" w:eastAsia="zh-CN"/>
              </w:rPr>
            </w:pPr>
            <w:r>
              <w:rPr>
                <w:rFonts w:hint="eastAsia"/>
                <w:b w:val="0"/>
                <w:sz w:val="16"/>
                <w:lang w:val="en-US" w:eastAsia="zh-CN"/>
              </w:rPr>
              <w:t>175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mcd/m</w:t>
            </w:r>
            <w:r>
              <w:rPr>
                <w:b w:val="0"/>
                <w:color w:val="231F20"/>
                <w:position w:val="6"/>
                <w:sz w:val="10"/>
              </w:rPr>
              <w:t>2</w:t>
            </w:r>
            <w:r>
              <w:rPr>
                <w:b w:val="0"/>
                <w:color w:val="231F20"/>
                <w:sz w:val="16"/>
              </w:rPr>
              <w:t>/lux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GB/T24717-2009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耐水性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GB/T24717-2009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耐碱性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GB/T24717-2009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耐磨性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30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30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mg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GB/T24717-2009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粘结性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20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20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N/25mm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GB/T24717-2009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  <w:r>
        <w:rPr>
          <w:rFonts w:hint="eastAsia"/>
          <w:b w:val="0"/>
          <w:color w:val="231F20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</w:p>
    <w:p>
      <w:pPr>
        <w:pStyle w:val="2"/>
        <w:spacing w:line="342" w:lineRule="exact"/>
        <w:ind w:left="160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常规规格： </w:t>
      </w:r>
      <w:r>
        <w:rPr>
          <w:b w:val="0"/>
          <w:color w:val="231F20"/>
        </w:rPr>
        <w:t>标准长度：33m，50m</w:t>
      </w:r>
    </w:p>
    <w:p>
      <w:pPr>
        <w:pStyle w:val="2"/>
        <w:spacing w:before="5" w:line="218" w:lineRule="auto"/>
        <w:ind w:left="1112" w:right="5655"/>
        <w:rPr>
          <w:rFonts w:hint="default" w:eastAsia="思源黑体 CN Light"/>
          <w:b w:val="0"/>
          <w:lang w:val="en-US" w:eastAsia="zh-CN"/>
        </w:rPr>
      </w:pPr>
      <w:r>
        <w:drawing>
          <wp:anchor distT="0" distB="0" distL="0" distR="0" simplePos="0" relativeHeight="252534784" behindDoc="1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48260</wp:posOffset>
            </wp:positionV>
            <wp:extent cx="2416175" cy="1844675"/>
            <wp:effectExtent l="0" t="0" r="3175" b="3175"/>
            <wp:wrapThrough wrapText="bothSides">
              <wp:wrapPolygon>
                <wp:start x="0" y="0"/>
                <wp:lineTo x="0" y="21414"/>
                <wp:lineTo x="21458" y="21414"/>
                <wp:lineTo x="21458" y="0"/>
                <wp:lineTo x="0" y="0"/>
              </wp:wrapPolygon>
            </wp:wrapThrough>
            <wp:docPr id="29" name="图片 29" descr="C:\Users\ADMINI~1\AppData\Local\Temp\16255756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~1\AppData\Local\Temp\1625575610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color w:val="231F20"/>
        </w:rPr>
        <w:t>标准宽度：10cm，15cm，20cm，可根据用户需要定制。颜色：白色、黄色</w:t>
      </w:r>
      <w:r>
        <w:rPr>
          <w:rFonts w:hint="eastAsia"/>
          <w:b w:val="0"/>
          <w:color w:val="231F20"/>
          <w:lang w:val="en-US" w:eastAsia="zh-CN"/>
        </w:rPr>
        <w:t xml:space="preserve">                                   </w:t>
      </w:r>
      <w:r>
        <w:drawing>
          <wp:anchor distT="0" distB="0" distL="0" distR="0" simplePos="0" relativeHeight="252220416" behindDoc="0" locked="0" layoutInCell="1" allowOverlap="1">
            <wp:simplePos x="0" y="0"/>
            <wp:positionH relativeFrom="page">
              <wp:posOffset>12108815</wp:posOffset>
            </wp:positionH>
            <wp:positionV relativeFrom="paragraph">
              <wp:posOffset>210820</wp:posOffset>
            </wp:positionV>
            <wp:extent cx="2109470" cy="1341120"/>
            <wp:effectExtent l="0" t="0" r="5080" b="11430"/>
            <wp:wrapNone/>
            <wp:docPr id="23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12108815" y="723519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0400" behindDoc="0" locked="0" layoutInCell="1" allowOverlap="1">
            <wp:simplePos x="0" y="0"/>
            <wp:positionH relativeFrom="page">
              <wp:posOffset>12413615</wp:posOffset>
            </wp:positionH>
            <wp:positionV relativeFrom="paragraph">
              <wp:posOffset>244475</wp:posOffset>
            </wp:positionV>
            <wp:extent cx="2109470" cy="1341120"/>
            <wp:effectExtent l="0" t="0" r="5080" b="11430"/>
            <wp:wrapNone/>
            <wp:docPr id="31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12413615" y="5911215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18" w:lineRule="auto"/>
        <w:ind w:left="1112" w:right="4882" w:hanging="953"/>
        <w:rPr>
          <w:rFonts w:hint="eastAsia" w:ascii="思源黑体 CN Regular" w:eastAsia="思源黑体 CN Regular"/>
          <w:color w:val="231F20"/>
        </w:rPr>
      </w:pPr>
      <w:r>
        <w:drawing>
          <wp:anchor distT="0" distB="0" distL="0" distR="0" simplePos="0" relativeHeight="252481536" behindDoc="0" locked="0" layoutInCell="1" allowOverlap="1">
            <wp:simplePos x="0" y="0"/>
            <wp:positionH relativeFrom="page">
              <wp:posOffset>12337415</wp:posOffset>
            </wp:positionH>
            <wp:positionV relativeFrom="paragraph">
              <wp:posOffset>-1117600</wp:posOffset>
            </wp:positionV>
            <wp:extent cx="2109470" cy="1341120"/>
            <wp:effectExtent l="0" t="0" r="5080" b="11430"/>
            <wp:wrapNone/>
            <wp:docPr id="25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4848" behindDoc="0" locked="0" layoutInCell="1" allowOverlap="1">
            <wp:simplePos x="0" y="0"/>
            <wp:positionH relativeFrom="page">
              <wp:posOffset>12566015</wp:posOffset>
            </wp:positionH>
            <wp:positionV relativeFrom="paragraph">
              <wp:posOffset>-1289050</wp:posOffset>
            </wp:positionV>
            <wp:extent cx="2109470" cy="1341120"/>
            <wp:effectExtent l="0" t="0" r="5080" b="11430"/>
            <wp:wrapNone/>
            <wp:docPr id="15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2624" behindDoc="0" locked="0" layoutInCell="1" allowOverlap="1">
            <wp:simplePos x="0" y="0"/>
            <wp:positionH relativeFrom="page">
              <wp:posOffset>12413615</wp:posOffset>
            </wp:positionH>
            <wp:positionV relativeFrom="paragraph">
              <wp:posOffset>-1441450</wp:posOffset>
            </wp:positionV>
            <wp:extent cx="2109470" cy="1341120"/>
            <wp:effectExtent l="0" t="0" r="5080" b="11430"/>
            <wp:wrapNone/>
            <wp:docPr id="13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18" w:lineRule="auto"/>
        <w:ind w:left="1153" w:leftChars="75" w:right="4882" w:hanging="995" w:hangingChars="553"/>
        <w:rPr>
          <w:b w:val="0"/>
          <w:color w:val="231F20"/>
        </w:rPr>
      </w:pPr>
      <w:r>
        <w:rPr>
          <w:rFonts w:hint="eastAsia" w:ascii="思源黑体 CN Regular" w:eastAsia="思源黑体 CN Regular"/>
          <w:color w:val="231F20"/>
        </w:rPr>
        <w:t xml:space="preserve">使用方法： </w:t>
      </w:r>
      <w:r>
        <w:rPr>
          <w:b w:val="0"/>
          <w:color w:val="231F20"/>
        </w:rPr>
        <w:t>分为嵌入式施工和表层式施工，配合 P120 底涂剂使</w:t>
      </w:r>
      <w:r>
        <w:drawing>
          <wp:anchor distT="0" distB="0" distL="0" distR="0" simplePos="0" relativeHeight="252324864" behindDoc="0" locked="0" layoutInCell="1" allowOverlap="1">
            <wp:simplePos x="0" y="0"/>
            <wp:positionH relativeFrom="page">
              <wp:posOffset>8994140</wp:posOffset>
            </wp:positionH>
            <wp:positionV relativeFrom="paragraph">
              <wp:posOffset>-429895</wp:posOffset>
            </wp:positionV>
            <wp:extent cx="2109470" cy="1341120"/>
            <wp:effectExtent l="0" t="0" r="5080" b="11430"/>
            <wp:wrapNone/>
            <wp:docPr id="2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231F20"/>
        </w:rPr>
        <w:t>用。在新路面的状况下每公斤底涂剂可铺设 3-5 平方</w:t>
      </w:r>
      <w:r>
        <w:drawing>
          <wp:anchor distT="0" distB="0" distL="0" distR="0" simplePos="0" relativeHeight="252429312" behindDoc="0" locked="0" layoutInCell="1" allowOverlap="1">
            <wp:simplePos x="0" y="0"/>
            <wp:positionH relativeFrom="page">
              <wp:posOffset>9146540</wp:posOffset>
            </wp:positionH>
            <wp:positionV relativeFrom="paragraph">
              <wp:posOffset>-277495</wp:posOffset>
            </wp:positionV>
            <wp:extent cx="2109470" cy="1341120"/>
            <wp:effectExtent l="0" t="0" r="5080" b="11430"/>
            <wp:wrapNone/>
            <wp:docPr id="24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231F20"/>
        </w:rPr>
        <w:t>米的公路反光胶带，实际使用量主要是根据路面状况而定。请参阅施工说明。</w:t>
      </w:r>
    </w:p>
    <w:p>
      <w:pPr>
        <w:pStyle w:val="2"/>
        <w:spacing w:line="218" w:lineRule="auto"/>
        <w:ind w:left="1112" w:right="4882" w:hanging="953"/>
        <w:rPr>
          <w:b w:val="0"/>
          <w:color w:val="231F20"/>
        </w:rPr>
      </w:pPr>
    </w:p>
    <w:p>
      <w:pPr>
        <w:pStyle w:val="2"/>
        <w:spacing w:line="218" w:lineRule="auto"/>
        <w:ind w:left="1112" w:right="4882" w:hanging="953"/>
        <w:rPr>
          <w:rFonts w:hint="eastAsia" w:eastAsia="思源黑体 CN Light"/>
          <w:b w:val="0"/>
          <w:color w:val="231F20"/>
          <w:lang w:val="en-US" w:eastAsia="zh-CN"/>
        </w:rPr>
      </w:pPr>
      <w:r>
        <w:rPr>
          <w:rFonts w:hint="eastAsia" w:ascii="思源黑体 CN Regular" w:eastAsia="思源黑体 CN Regular"/>
          <w:color w:val="231F20"/>
        </w:rPr>
        <w:t>存储期：</w:t>
      </w:r>
      <w:r>
        <w:rPr>
          <w:rFonts w:hint="eastAsia" w:ascii="思源黑体 CN Regular" w:eastAsia="思源黑体 CN Regular"/>
          <w:color w:val="231F20"/>
        </w:rPr>
        <w:tab/>
      </w:r>
      <w:r>
        <w:rPr>
          <w:b w:val="0"/>
          <w:color w:val="231F20"/>
          <w:position w:val="1"/>
        </w:rPr>
        <w:t>在常温状况下，储存</w:t>
      </w:r>
      <w:r>
        <w:rPr>
          <w:b w:val="0"/>
          <w:color w:val="231F20"/>
          <w:spacing w:val="5"/>
          <w:position w:val="1"/>
        </w:rPr>
        <w:t xml:space="preserve"> </w:t>
      </w:r>
      <w:r>
        <w:rPr>
          <w:b w:val="0"/>
          <w:color w:val="231F20"/>
          <w:position w:val="1"/>
        </w:rPr>
        <w:t>24</w:t>
      </w:r>
      <w:r>
        <w:rPr>
          <w:b w:val="0"/>
          <w:color w:val="231F20"/>
          <w:spacing w:val="5"/>
          <w:position w:val="1"/>
        </w:rPr>
        <w:t xml:space="preserve"> </w:t>
      </w:r>
      <w:r>
        <w:rPr>
          <w:b w:val="0"/>
          <w:color w:val="231F20"/>
          <w:position w:val="1"/>
        </w:rPr>
        <w:t>个月。</w:t>
      </w:r>
      <w:r>
        <w:rPr>
          <w:rFonts w:hint="eastAsia"/>
          <w:b w:val="0"/>
          <w:color w:val="231F20"/>
          <w:position w:val="1"/>
          <w:lang w:val="en-US" w:eastAsia="zh-CN"/>
        </w:rPr>
        <w:t xml:space="preserve"> </w:t>
      </w:r>
    </w:p>
    <w:p>
      <w:pPr>
        <w:pStyle w:val="2"/>
        <w:spacing w:line="218" w:lineRule="auto"/>
        <w:ind w:left="1112" w:right="4882" w:hanging="953"/>
        <w:rPr>
          <w:rFonts w:hint="default" w:eastAsia="思源黑体 CN Light"/>
          <w:b w:val="0"/>
          <w:color w:val="231F20"/>
          <w:lang w:val="en-US" w:eastAsia="zh-CN"/>
        </w:rPr>
      </w:pPr>
      <w:r>
        <w:drawing>
          <wp:anchor distT="0" distB="0" distL="0" distR="0" simplePos="0" relativeHeight="252168192" behindDoc="0" locked="0" layoutInCell="1" allowOverlap="1">
            <wp:simplePos x="0" y="0"/>
            <wp:positionH relativeFrom="page">
              <wp:posOffset>12108815</wp:posOffset>
            </wp:positionH>
            <wp:positionV relativeFrom="paragraph">
              <wp:posOffset>-1504315</wp:posOffset>
            </wp:positionV>
            <wp:extent cx="2109470" cy="1341120"/>
            <wp:effectExtent l="0" t="0" r="5080" b="11430"/>
            <wp:wrapNone/>
            <wp:docPr id="22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2"/>
        <w:tabs>
          <w:tab w:val="left" w:pos="1112"/>
        </w:tabs>
        <w:spacing w:before="193"/>
        <w:ind w:left="160"/>
        <w:rPr>
          <w:rFonts w:hint="default" w:eastAsia="思源黑体 CN Light"/>
          <w:b w:val="0"/>
          <w:lang w:val="en-US" w:eastAsia="zh-CN"/>
        </w:rPr>
      </w:pPr>
      <w:r>
        <w:rPr>
          <w:rFonts w:hint="eastAsia"/>
          <w:b w:val="0"/>
          <w:color w:val="231F20"/>
          <w:lang w:val="en-US" w:eastAsia="zh-CN"/>
        </w:rPr>
        <w:t xml:space="preserve">以上所有数据及信息是基于我们的测试结果，用户在使用之前必须针对所期望的用途确定产品的适用性。                      </w:t>
      </w: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160" w:right="0"/>
        <w:textAlignment w:val="auto"/>
        <w:rPr>
          <w:rFonts w:hint="default" w:eastAsia="思源黑体 CN Light"/>
          <w:b w:val="0"/>
          <w:color w:val="231F20"/>
          <w:lang w:val="en-US" w:eastAsia="zh-CN"/>
        </w:rPr>
      </w:pPr>
      <w:r>
        <w:drawing>
          <wp:anchor distT="0" distB="0" distL="0" distR="0" simplePos="0" relativeHeight="252115968" behindDoc="0" locked="0" layoutInCell="1" allowOverlap="1">
            <wp:simplePos x="0" y="0"/>
            <wp:positionH relativeFrom="page">
              <wp:posOffset>12108815</wp:posOffset>
            </wp:positionH>
            <wp:positionV relativeFrom="paragraph">
              <wp:posOffset>-1313815</wp:posOffset>
            </wp:positionV>
            <wp:extent cx="2109470" cy="1341120"/>
            <wp:effectExtent l="0" t="0" r="5080" b="11430"/>
            <wp:wrapNone/>
            <wp:docPr id="20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3744" behindDoc="0" locked="0" layoutInCell="1" allowOverlap="1">
            <wp:simplePos x="0" y="0"/>
            <wp:positionH relativeFrom="page">
              <wp:posOffset>13175615</wp:posOffset>
            </wp:positionH>
            <wp:positionV relativeFrom="paragraph">
              <wp:posOffset>-1875790</wp:posOffset>
            </wp:positionV>
            <wp:extent cx="2109470" cy="1341120"/>
            <wp:effectExtent l="0" t="0" r="5080" b="11430"/>
            <wp:wrapNone/>
            <wp:docPr id="19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11520" behindDoc="0" locked="0" layoutInCell="1" allowOverlap="1">
            <wp:simplePos x="0" y="0"/>
            <wp:positionH relativeFrom="page">
              <wp:posOffset>13023215</wp:posOffset>
            </wp:positionH>
            <wp:positionV relativeFrom="paragraph">
              <wp:posOffset>-2028190</wp:posOffset>
            </wp:positionV>
            <wp:extent cx="2109470" cy="1341120"/>
            <wp:effectExtent l="0" t="0" r="5080" b="11430"/>
            <wp:wrapNone/>
            <wp:docPr id="18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9296" behindDoc="0" locked="0" layoutInCell="1" allowOverlap="1">
            <wp:simplePos x="0" y="0"/>
            <wp:positionH relativeFrom="page">
              <wp:posOffset>12870815</wp:posOffset>
            </wp:positionH>
            <wp:positionV relativeFrom="paragraph">
              <wp:posOffset>-2180590</wp:posOffset>
            </wp:positionV>
            <wp:extent cx="2109470" cy="1341120"/>
            <wp:effectExtent l="0" t="0" r="5080" b="11430"/>
            <wp:wrapNone/>
            <wp:docPr id="17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7072" behindDoc="0" locked="0" layoutInCell="1" allowOverlap="1">
            <wp:simplePos x="0" y="0"/>
            <wp:positionH relativeFrom="page">
              <wp:posOffset>12718415</wp:posOffset>
            </wp:positionH>
            <wp:positionV relativeFrom="paragraph">
              <wp:posOffset>-2332990</wp:posOffset>
            </wp:positionV>
            <wp:extent cx="2109470" cy="1341120"/>
            <wp:effectExtent l="0" t="0" r="5080" b="11430"/>
            <wp:wrapNone/>
            <wp:docPr id="16" name="image92.png" descr="C:\Users\lx2021\Desktop\公路胶带.png公路胶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2.png" descr="C:\Users\lx2021\Desktop\公路胶带.png公路胶带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思源黑体 CN Light">
    <w:altName w:val="黑体"/>
    <w:panose1 w:val="020B0300000000000000"/>
    <w:charset w:val="80"/>
    <w:family w:val="swiss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0"/>
    <w:family w:val="swiss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0"/>
    <w:family w:val="swiss"/>
    <w:pitch w:val="default"/>
    <w:sig w:usb0="00000000" w:usb1="00000000" w:usb2="00000016" w:usb3="00000000" w:csb0="60060107" w:csb1="00000000"/>
  </w:font>
  <w:font w:name="黑体">
    <w:panose1 w:val="02010600030101010101"/>
    <w:charset w:val="80"/>
    <w:family w:val="swiss"/>
    <w:pitch w:val="default"/>
    <w:sig w:usb0="00000001" w:usb1="080E0000" w:usb2="00000000" w:usb3="00000000" w:csb0="00040000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5022"/>
    <w:rsid w:val="0F041F75"/>
    <w:rsid w:val="353064D8"/>
    <w:rsid w:val="7E50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思源黑体 CN Light" w:hAnsi="思源黑体 CN Light" w:eastAsia="思源黑体 CN Light" w:cs="思源黑体 CN Light"/>
      <w:sz w:val="18"/>
      <w:szCs w:val="18"/>
      <w:lang w:val="en-US" w:eastAsia="en-US" w:bidi="en-US"/>
    </w:rPr>
  </w:style>
  <w:style w:type="paragraph" w:customStyle="1" w:styleId="5">
    <w:name w:val="Table Paragraph"/>
    <w:basedOn w:val="1"/>
    <w:qFormat/>
    <w:uiPriority w:val="1"/>
    <w:pPr>
      <w:spacing w:before="58"/>
      <w:ind w:left="443" w:right="429"/>
      <w:jc w:val="center"/>
    </w:pPr>
    <w:rPr>
      <w:rFonts w:ascii="思源黑体 CN Normal" w:hAnsi="思源黑体 CN Normal" w:eastAsia="思源黑体 CN Normal" w:cs="思源黑体 CN Norm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2022-05-06T01:20:21Z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