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29375" cy="293370"/>
            <wp:effectExtent l="0" t="0" r="952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Profiled</w:t>
      </w:r>
      <w:r>
        <w:rPr>
          <w:rFonts w:ascii="Arial" w:hAnsi="Arial" w:cs="Arial"/>
          <w:sz w:val="28"/>
          <w:szCs w:val="28"/>
        </w:rPr>
        <w:t xml:space="preserve"> Super </w:t>
      </w:r>
      <w:r>
        <w:rPr>
          <w:rFonts w:hint="eastAsia"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eflective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avement </w:t>
      </w:r>
      <w:r>
        <w:rPr>
          <w:rFonts w:hint="eastAsia"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arking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 xml:space="preserve">Model </w:t>
      </w:r>
      <w:r>
        <w:rPr>
          <w:rFonts w:ascii="Arial" w:hAnsi="Arial" w:cs="Arial"/>
          <w:szCs w:val="21"/>
        </w:rPr>
        <w:t>PL10000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PL10000 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profiled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super reflective pavement marking tape is pre-made by special process with excellent transportation control ability and stereoscopic reflection performance. It adopts high quality adhesive coating with reflective unit of high refractive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index 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coated on the raised unit. It has good reflection and anti-friction ability. The vehicle may experience rhythmic vibrating when driving on the tape surface. The bottom adopts adhesive 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of</w:t>
      </w:r>
      <w:r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strong adhesion force and weather-resistance</w:t>
      </w:r>
      <w:r>
        <w:rPr>
          <w:rFonts w:ascii="Arial" w:hAnsi="Arial" w:cs="Arial"/>
          <w:szCs w:val="21"/>
        </w:rPr>
        <w:t>.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szCs w:val="21"/>
        </w:rPr>
        <w:t xml:space="preserve">super reflective and anti-skid performance at night; </w:t>
      </w:r>
      <w:r>
        <w:rPr>
          <w:rFonts w:ascii="Arial" w:hAnsi="Arial" w:cs="Arial"/>
          <w:szCs w:val="21"/>
        </w:rPr>
        <w:t>rhythmic vibrating</w:t>
      </w:r>
      <w:r>
        <w:rPr>
          <w:rFonts w:hint="eastAsia" w:ascii="Arial" w:hAnsi="Arial" w:cs="Arial"/>
          <w:szCs w:val="21"/>
        </w:rPr>
        <w:t xml:space="preserve">; strong weather resistance; easy application and removing; </w:t>
      </w:r>
      <w:r>
        <w:rPr>
          <w:rFonts w:ascii="Arial" w:hAnsi="Arial" w:cs="Arial"/>
          <w:szCs w:val="21"/>
        </w:rPr>
        <w:t>stereoscopic reflection</w:t>
      </w:r>
      <w:r>
        <w:rPr>
          <w:rFonts w:hint="eastAsia" w:ascii="Arial" w:hAnsi="Arial" w:cs="Arial"/>
          <w:szCs w:val="21"/>
        </w:rPr>
        <w:t xml:space="preserve"> in all directions.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Application scope: </w:t>
      </w:r>
      <w:r>
        <w:rPr>
          <w:rFonts w:hint="eastAsia" w:ascii="Arial" w:hAnsi="Arial" w:cs="Arial"/>
          <w:szCs w:val="21"/>
        </w:rPr>
        <w:t>edge lines of</w:t>
      </w: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ascii="Arial" w:hAnsi="Arial" w:cs="Arial"/>
          <w:szCs w:val="21"/>
        </w:rPr>
        <w:t>cross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walk</w:t>
      </w:r>
      <w:r>
        <w:rPr>
          <w:rFonts w:hint="eastAsia" w:ascii="Arial" w:hAnsi="Arial" w:cs="Arial"/>
          <w:szCs w:val="21"/>
        </w:rPr>
        <w:t xml:space="preserve"> and roadway; traffic warning before entering crowded road section of the city; residential area, dock, airport, toll station, parking lot and area requiring speed control in; road section requiring low vehicle speed in factory area; edge lines of roadway in road tunnel; speed reduction marking line on the road; </w:t>
      </w:r>
      <w:r>
        <w:rPr>
          <w:rFonts w:ascii="Arial" w:hAnsi="Arial" w:cs="Arial"/>
          <w:szCs w:val="21"/>
        </w:rPr>
        <w:t>entrance</w:t>
      </w:r>
      <w:r>
        <w:rPr>
          <w:rFonts w:hint="eastAsia" w:ascii="Arial" w:hAnsi="Arial" w:cs="Arial"/>
          <w:szCs w:val="21"/>
        </w:rPr>
        <w:t xml:space="preserve"> and exit section of </w:t>
      </w:r>
      <w:r>
        <w:rPr>
          <w:rFonts w:ascii="Arial" w:hAnsi="Arial" w:cs="Arial"/>
          <w:szCs w:val="21"/>
        </w:rPr>
        <w:t>interchange ramp</w:t>
      </w:r>
      <w:r>
        <w:rPr>
          <w:rFonts w:hint="eastAsia" w:ascii="Arial" w:hAnsi="Arial" w:cs="Arial"/>
          <w:szCs w:val="21"/>
        </w:rPr>
        <w:t xml:space="preserve">; turning, narrowing, obstacle of the road and other dangerous section of the road 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034"/>
        <w:gridCol w:w="2036"/>
        <w:gridCol w:w="205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 10001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 10002</w:t>
            </w: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White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Yellow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Retroreflectivity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250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mcd/m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/lux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Water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Alkali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Anti-friction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mg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Adhesion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N/25mm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GB/T24717-2009</w:t>
            </w:r>
          </w:p>
        </w:tc>
      </w:tr>
    </w:tbl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 xml:space="preserve">standard length: </w:t>
      </w:r>
      <w:r>
        <w:rPr>
          <w:rFonts w:ascii="Arial" w:hAnsi="Arial" w:cs="Arial"/>
          <w:szCs w:val="21"/>
        </w:rPr>
        <w:t>33m, 50m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148590</wp:posOffset>
                </wp:positionV>
                <wp:extent cx="2152650" cy="140398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882775" cy="1487170"/>
                                  <wp:effectExtent l="0" t="0" r="3175" b="17780"/>
                                  <wp:docPr id="2" name="图片 2" descr="C:\Users\ADMINI~1\AppData\Local\Temp\1625575610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C:\Users\ADMINI~1\AppData\Local\Temp\1625575610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775" cy="1487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3.6pt;margin-top:11.7pt;height:110.55pt;width:169.5pt;z-index:251660288;mso-width-relative:page;mso-height-relative:margin;mso-height-percent:200;" filled="f" stroked="f" coordsize="21600,21600" o:gfxdata="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G5IB9gAAAALAQAADwAAAAAAAAABACAAAAAiAAAAZHJzL2Rvd25yZXYueG1sUEsBAhQAFAAAAAgA&#10;h07iQP4O1PMlAgAAKw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882775" cy="1487170"/>
                            <wp:effectExtent l="0" t="0" r="3175" b="17780"/>
                            <wp:docPr id="2" name="图片 2" descr="C:\Users\ADMINI~1\AppData\Local\Temp\1625575610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C:\Users\ADMINI~1\AppData\Local\Temp\1625575610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2775" cy="1487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1"/>
        </w:rPr>
        <w:t>Standard width: 10cm, 15cm, 20cm; or according to customer’s requirements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vailable color: white, yellow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inlay and overlay; coated with </w:t>
      </w:r>
      <w:r>
        <w:rPr>
          <w:rFonts w:ascii="Arial" w:hAnsi="Arial" w:cs="Arial"/>
          <w:szCs w:val="21"/>
        </w:rPr>
        <w:t xml:space="preserve">P120 contact primer. 1kg contact primer </w:t>
      </w:r>
      <w:r>
        <w:rPr>
          <w:rFonts w:hint="eastAsia" w:ascii="Arial" w:hAnsi="Arial" w:cs="Arial"/>
          <w:szCs w:val="21"/>
        </w:rPr>
        <w:t xml:space="preserve">for </w:t>
      </w:r>
      <w:r>
        <w:rPr>
          <w:rFonts w:ascii="Arial" w:hAnsi="Arial" w:cs="Arial"/>
          <w:szCs w:val="21"/>
        </w:rPr>
        <w:t xml:space="preserve">3-5m² road tape </w:t>
      </w:r>
      <w:r>
        <w:rPr>
          <w:rFonts w:hint="eastAsia" w:ascii="Arial" w:hAnsi="Arial" w:cs="Arial"/>
          <w:szCs w:val="21"/>
        </w:rPr>
        <w:t xml:space="preserve">application </w:t>
      </w:r>
      <w:r>
        <w:rPr>
          <w:rFonts w:ascii="Arial" w:hAnsi="Arial" w:cs="Arial"/>
          <w:szCs w:val="21"/>
        </w:rPr>
        <w:t>on new roads</w:t>
      </w:r>
      <w:r>
        <w:rPr>
          <w:rFonts w:hint="eastAsia" w:ascii="Arial" w:hAnsi="Arial" w:cs="Arial"/>
          <w:szCs w:val="21"/>
        </w:rPr>
        <w:t>;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ctual amount depends on the</w:t>
      </w:r>
      <w:r>
        <w:rPr>
          <w:rFonts w:hint="eastAsia" w:ascii="Arial" w:hAnsi="Arial" w:cs="Arial"/>
          <w:szCs w:val="21"/>
        </w:rPr>
        <w:t xml:space="preserve"> road</w:t>
      </w:r>
      <w:r>
        <w:rPr>
          <w:rFonts w:ascii="Arial" w:hAnsi="Arial" w:cs="Arial"/>
          <w:szCs w:val="21"/>
        </w:rPr>
        <w:t xml:space="preserve"> situation</w:t>
      </w:r>
      <w:r>
        <w:rPr>
          <w:rFonts w:hint="eastAsia" w:ascii="Arial" w:hAnsi="Arial" w:cs="Arial"/>
          <w:szCs w:val="21"/>
        </w:rPr>
        <w:t>. Refer to the application instructions.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</w:p>
    <w:p>
      <w:pPr>
        <w:spacing w:line="280" w:lineRule="exact"/>
        <w:rPr>
          <w:rFonts w:hint="eastAsia" w:ascii="Arial" w:hAnsi="Arial" w:cs="Arial" w:eastAsiaTheme="minorEastAsia"/>
          <w:szCs w:val="21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The listed values are typical only and not intended to serve as product specifications.</w:t>
      </w:r>
    </w:p>
    <w:p>
      <w:bookmarkStart w:id="0" w:name="_GoBack"/>
      <w:bookmarkEnd w:id="0"/>
    </w:p>
    <w:sectPr>
      <w:pgSz w:w="11850" w:h="16783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6FA7"/>
    <w:rsid w:val="19D64D88"/>
    <w:rsid w:val="32D63E33"/>
    <w:rsid w:val="732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