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77000" cy="293370"/>
            <wp:effectExtent l="0" t="0" r="0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 xml:space="preserve">High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erformance </w:t>
      </w:r>
      <w:r>
        <w:rPr>
          <w:rFonts w:hint="eastAsia"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oil </w:t>
      </w:r>
      <w:r>
        <w:rPr>
          <w:rFonts w:hint="eastAsia"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acked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avement </w:t>
      </w:r>
      <w:r>
        <w:rPr>
          <w:rFonts w:hint="eastAsia"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arking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</w:t>
      </w: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 xml:space="preserve">Model </w:t>
      </w:r>
      <w:r>
        <w:rPr>
          <w:rFonts w:ascii="Arial" w:hAnsi="Arial" w:cs="Arial"/>
          <w:szCs w:val="21"/>
        </w:rPr>
        <w:t>PL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000</w:t>
      </w:r>
    </w:p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szCs w:val="21"/>
        </w:rPr>
        <w:t>PL2000 high performance foil backed pavement marking tape</w:t>
      </w:r>
      <w:r>
        <w:rPr>
          <w:rFonts w:hint="eastAsia" w:ascii="Arial" w:hAnsi="Arial" w:cs="Arial"/>
          <w:szCs w:val="21"/>
        </w:rPr>
        <w:t xml:space="preserve"> is</w:t>
      </w:r>
      <w:r>
        <w:rPr>
          <w:rFonts w:ascii="Arial" w:hAnsi="Arial" w:cs="Arial"/>
          <w:szCs w:val="21"/>
        </w:rPr>
        <w:t xml:space="preserve"> pre-made by special processes, which </w:t>
      </w:r>
      <w:r>
        <w:rPr>
          <w:rFonts w:hint="eastAsia" w:ascii="Arial" w:hAnsi="Arial" w:cs="Arial"/>
          <w:szCs w:val="21"/>
        </w:rPr>
        <w:t>is well conformable to the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pavement</w:t>
      </w:r>
      <w:r>
        <w:rPr>
          <w:rFonts w:ascii="Arial" w:hAnsi="Arial" w:cs="Arial"/>
          <w:szCs w:val="21"/>
        </w:rPr>
        <w:t xml:space="preserve">; it is coated with reflective unit with high refractive index, therefore it has good </w:t>
      </w:r>
      <w:r>
        <w:rPr>
          <w:rFonts w:hint="eastAsia" w:ascii="Arial" w:hAnsi="Arial" w:cs="Arial"/>
          <w:szCs w:val="21"/>
        </w:rPr>
        <w:t xml:space="preserve">reflection </w:t>
      </w:r>
      <w:r>
        <w:rPr>
          <w:rFonts w:ascii="Arial" w:hAnsi="Arial" w:cs="Arial"/>
          <w:szCs w:val="21"/>
        </w:rPr>
        <w:t>at night. It also adopt</w:t>
      </w:r>
      <w:r>
        <w:rPr>
          <w:rFonts w:hint="eastAsia"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 high quality </w:t>
      </w:r>
      <w:r>
        <w:rPr>
          <w:rFonts w:hint="eastAsia" w:ascii="Arial" w:hAnsi="Arial" w:cs="Arial"/>
          <w:szCs w:val="21"/>
        </w:rPr>
        <w:t>adhesive</w:t>
      </w:r>
      <w:r>
        <w:rPr>
          <w:rFonts w:ascii="Arial" w:hAnsi="Arial" w:cs="Arial"/>
          <w:szCs w:val="21"/>
        </w:rPr>
        <w:t xml:space="preserve"> coating and has good anti-friction ability. The bottom is coated with a strong and weather resistant adhesive.</w:t>
      </w:r>
    </w:p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good reflection; good flexibility; strong weather resistance; easy application and well conformable to the pavement </w:t>
      </w:r>
    </w:p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Application scope: </w:t>
      </w:r>
      <w:r>
        <w:rPr>
          <w:rFonts w:hint="eastAsia" w:ascii="Arial" w:hAnsi="Arial" w:cs="Arial"/>
          <w:szCs w:val="21"/>
        </w:rPr>
        <w:t xml:space="preserve">warning for dangerous road section; various road islands, road signs applied in various sites, such as: factory area, residential area, dock, airport, toll station, parting lot, shopping center, supermarket, sports ground and </w:t>
      </w:r>
      <w:r>
        <w:rPr>
          <w:rFonts w:ascii="Arial" w:hAnsi="Arial" w:cs="Arial"/>
          <w:szCs w:val="21"/>
        </w:rPr>
        <w:t>recreation</w:t>
      </w:r>
      <w:r>
        <w:rPr>
          <w:rFonts w:hint="eastAsia" w:ascii="Arial" w:hAnsi="Arial" w:cs="Arial"/>
          <w:szCs w:val="21"/>
        </w:rPr>
        <w:t xml:space="preserve"> places, etc.</w:t>
      </w:r>
    </w:p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048"/>
        <w:gridCol w:w="2053"/>
        <w:gridCol w:w="206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PL </w:t>
            </w:r>
            <w:r>
              <w:rPr>
                <w:rFonts w:hint="eastAsia"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001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PL </w:t>
            </w:r>
            <w:r>
              <w:rPr>
                <w:rFonts w:hint="eastAsia"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00</w:t>
            </w: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21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White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Yellow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0.6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0.6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Retroreflectivity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00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150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mcd/m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/lux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Water resistance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Alkali resistance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Anti-friction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mg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Adhesion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15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15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N/25mm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Skid resistance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BPN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  <w:r>
              <w:rPr>
                <w:rFonts w:hint="eastAsia" w:ascii="Arial" w:hAnsi="Arial" w:cs="Arial"/>
                <w:szCs w:val="21"/>
              </w:rPr>
              <w:t>-2009</w:t>
            </w:r>
          </w:p>
        </w:tc>
      </w:tr>
    </w:tbl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 xml:space="preserve">standard length: </w:t>
      </w:r>
      <w:r>
        <w:rPr>
          <w:rFonts w:ascii="Arial" w:hAnsi="Arial" w:cs="Arial"/>
          <w:szCs w:val="21"/>
        </w:rPr>
        <w:t>33m, 50m</w:t>
      </w: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Standard width: 10cm, 15cm, 20cm; or according to customer’s requirements</w:t>
      </w:r>
    </w:p>
    <w:p>
      <w:pPr>
        <w:spacing w:line="26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vailable color: white, yellow</w:t>
      </w:r>
      <w:r>
        <w:rPr>
          <w:rFonts w:hint="eastAsia" w:ascii="Arial" w:hAnsi="Arial" w:cs="Arial"/>
          <w:szCs w:val="21"/>
        </w:rPr>
        <w:t>, black</w:t>
      </w:r>
    </w:p>
    <w:p>
      <w:pPr>
        <w:spacing w:line="260" w:lineRule="exact"/>
        <w:rPr>
          <w:rFonts w:ascii="Arial" w:hAnsi="Arial" w:cs="Arial"/>
          <w:szCs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30480</wp:posOffset>
            </wp:positionV>
            <wp:extent cx="1590040" cy="1942465"/>
            <wp:effectExtent l="0" t="0" r="10160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1"/>
        </w:rPr>
        <w:t>W</w:t>
      </w:r>
      <w:r>
        <w:rPr>
          <w:rFonts w:hint="eastAsia" w:ascii="Arial" w:hAnsi="Arial" w:cs="Arial"/>
          <w:szCs w:val="21"/>
        </w:rPr>
        <w:t>ith liner</w:t>
      </w:r>
    </w:p>
    <w:p>
      <w:pPr>
        <w:spacing w:line="260" w:lineRule="exact"/>
        <w:ind w:right="3490" w:rightChars="1662"/>
        <w:rPr>
          <w:rFonts w:hint="eastAsia" w:ascii="Arial" w:hAnsi="Arial" w:cs="Arial"/>
          <w:b/>
          <w:szCs w:val="21"/>
        </w:rPr>
      </w:pPr>
    </w:p>
    <w:p>
      <w:pPr>
        <w:spacing w:line="26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spacing w:line="260" w:lineRule="exact"/>
        <w:ind w:right="3490" w:rightChars="1662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1. </w:t>
      </w:r>
      <w:r>
        <w:rPr>
          <w:rFonts w:ascii="Arial" w:hAnsi="Arial" w:cs="Arial"/>
          <w:szCs w:val="21"/>
        </w:rPr>
        <w:t>The surface must be clean and dry</w:t>
      </w:r>
      <w:r>
        <w:rPr>
          <w:rFonts w:hint="eastAsia" w:ascii="Arial" w:hAnsi="Arial" w:cs="Arial"/>
          <w:szCs w:val="21"/>
        </w:rPr>
        <w:t>;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apply P120 </w:t>
      </w:r>
      <w:r>
        <w:rPr>
          <w:rFonts w:ascii="Arial" w:hAnsi="Arial" w:cs="Arial"/>
          <w:szCs w:val="21"/>
        </w:rPr>
        <w:t>contact primer</w:t>
      </w:r>
      <w:r>
        <w:rPr>
          <w:rFonts w:hint="eastAsia" w:ascii="Arial" w:hAnsi="Arial" w:cs="Arial"/>
          <w:szCs w:val="21"/>
        </w:rPr>
        <w:t xml:space="preserve"> if necessary;</w:t>
      </w:r>
    </w:p>
    <w:p>
      <w:pPr>
        <w:spacing w:line="26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2. Cut the tape as required and tear off the anti-sticking backing paper;</w:t>
      </w:r>
    </w:p>
    <w:p>
      <w:pPr>
        <w:spacing w:line="26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3. Apply on the </w:t>
      </w:r>
      <w:r>
        <w:rPr>
          <w:rFonts w:ascii="Arial" w:hAnsi="Arial" w:cs="Arial"/>
          <w:szCs w:val="21"/>
        </w:rPr>
        <w:t>surface</w:t>
      </w:r>
      <w:r>
        <w:rPr>
          <w:rFonts w:hint="eastAsia" w:ascii="Arial" w:hAnsi="Arial" w:cs="Arial"/>
          <w:szCs w:val="21"/>
        </w:rPr>
        <w:t xml:space="preserve"> in a smooth manner to ensure well conformable to the pavement. The tape has best </w:t>
      </w:r>
      <w:r>
        <w:rPr>
          <w:rFonts w:ascii="Arial" w:hAnsi="Arial" w:cs="Arial"/>
          <w:szCs w:val="21"/>
        </w:rPr>
        <w:t>stickiness</w:t>
      </w:r>
      <w:r>
        <w:rPr>
          <w:rFonts w:hint="eastAsia" w:ascii="Arial" w:hAnsi="Arial" w:cs="Arial"/>
          <w:szCs w:val="21"/>
        </w:rPr>
        <w:t xml:space="preserve"> at 23℃.</w:t>
      </w:r>
    </w:p>
    <w:p>
      <w:pPr>
        <w:spacing w:line="26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4. Finally use roller or compaction vehicle to ensure firm bonding with the pavement. </w:t>
      </w:r>
    </w:p>
    <w:p>
      <w:pPr>
        <w:spacing w:line="26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(Please refer to the application instructions)</w:t>
      </w:r>
    </w:p>
    <w:p>
      <w:pPr>
        <w:spacing w:line="260" w:lineRule="exact"/>
        <w:rPr>
          <w:rFonts w:ascii="Arial" w:hAnsi="Arial" w:cs="Arial"/>
          <w:szCs w:val="21"/>
        </w:rPr>
      </w:pPr>
    </w:p>
    <w:p>
      <w:pPr>
        <w:spacing w:line="260" w:lineRule="exac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</w:p>
    <w:p>
      <w:pPr>
        <w:spacing w:line="260" w:lineRule="exact"/>
        <w:rPr>
          <w:rFonts w:hint="eastAsia" w:ascii="Arial" w:hAnsi="Arial" w:cs="Arial"/>
          <w:szCs w:val="21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The listed values are typical only and not intended to serve as product specifications.</w:t>
      </w:r>
    </w:p>
    <w:p>
      <w:pPr>
        <w:spacing w:line="260" w:lineRule="exact"/>
        <w:rPr>
          <w:rFonts w:hint="eastAsia" w:ascii="Arial" w:hAnsi="Arial" w:cs="Arial"/>
          <w:szCs w:val="21"/>
        </w:rPr>
      </w:pPr>
      <w:bookmarkStart w:id="0" w:name="_GoBack"/>
      <w:bookmarkEnd w:id="0"/>
    </w:p>
    <w:p>
      <w:pPr>
        <w:spacing w:line="260" w:lineRule="exact"/>
        <w:rPr>
          <w:rFonts w:ascii="Arial" w:hAnsi="Arial" w:cs="Arial"/>
          <w:szCs w:val="21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1C19"/>
    <w:rsid w:val="089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