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6506210" cy="293370"/>
            <wp:effectExtent l="0" t="0" r="8890" b="1143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6210" cy="29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"/>
        <w:ind w:left="3572"/>
        <w:rPr>
          <w:b/>
        </w:rPr>
      </w:pPr>
      <w:r>
        <w:rPr>
          <w:b/>
          <w:color w:val="231F20"/>
        </w:rPr>
        <w:t>防滑胶带——万能型防滑产品</w:t>
      </w:r>
    </w:p>
    <w:p>
      <w:pPr>
        <w:rPr>
          <w:rFonts w:hint="eastAsia" w:ascii="思源黑体 CN Light" w:hAnsi="思源黑体 CN Light" w:eastAsia="思源黑体 CN Light" w:cs="思源黑体 CN Light"/>
          <w:b w:val="0"/>
          <w:color w:val="231F20"/>
          <w:spacing w:val="-7"/>
          <w:kern w:val="2"/>
          <w:sz w:val="18"/>
          <w:szCs w:val="18"/>
          <w:lang w:val="en-US" w:eastAsia="zh-CN" w:bidi="en-US"/>
        </w:rPr>
      </w:pPr>
      <w:r>
        <w:rPr>
          <w:rFonts w:hint="eastAsia" w:ascii="思源黑体 CN Light" w:hAnsi="思源黑体 CN Light" w:eastAsia="思源黑体 CN Light" w:cs="思源黑体 CN Light"/>
          <w:b w:val="0"/>
          <w:color w:val="231F20"/>
          <w:spacing w:val="-7"/>
          <w:kern w:val="2"/>
          <w:sz w:val="18"/>
          <w:szCs w:val="18"/>
          <w:lang w:val="en-US" w:eastAsia="zh-CN" w:bidi="en-US"/>
        </w:rPr>
        <w:t>产品型号： PL1000 型</w:t>
      </w:r>
    </w:p>
    <w:p>
      <w:pPr>
        <w:rPr>
          <w:rFonts w:hint="eastAsia" w:ascii="思源黑体 CN Light" w:hAnsi="思源黑体 CN Light" w:eastAsia="思源黑体 CN Light" w:cs="思源黑体 CN Light"/>
          <w:b w:val="0"/>
          <w:color w:val="231F20"/>
          <w:spacing w:val="-7"/>
          <w:kern w:val="2"/>
          <w:sz w:val="18"/>
          <w:szCs w:val="18"/>
          <w:lang w:val="en-US" w:eastAsia="zh-CN" w:bidi="en-US"/>
        </w:rPr>
      </w:pPr>
    </w:p>
    <w:p>
      <w:pPr>
        <w:ind w:left="1260" w:hanging="996" w:hangingChars="600"/>
        <w:rPr>
          <w:rFonts w:hint="eastAsia" w:ascii="思源黑体 CN Light" w:hAnsi="思源黑体 CN Light" w:eastAsia="思源黑体 CN Light" w:cs="思源黑体 CN Light"/>
          <w:b w:val="0"/>
          <w:color w:val="231F20"/>
          <w:spacing w:val="-7"/>
          <w:kern w:val="2"/>
          <w:sz w:val="18"/>
          <w:szCs w:val="18"/>
          <w:lang w:val="en-US" w:eastAsia="zh-CN" w:bidi="en-US"/>
        </w:rPr>
      </w:pPr>
      <w:r>
        <w:rPr>
          <w:rFonts w:hint="eastAsia" w:ascii="思源黑体 CN Light" w:hAnsi="思源黑体 CN Light" w:eastAsia="思源黑体 CN Light" w:cs="思源黑体 CN Light"/>
          <w:b w:val="0"/>
          <w:color w:val="231F20"/>
          <w:spacing w:val="-7"/>
          <w:kern w:val="2"/>
          <w:sz w:val="18"/>
          <w:szCs w:val="18"/>
          <w:lang w:val="en-US" w:eastAsia="zh-CN" w:bidi="en-US"/>
        </w:rPr>
        <w:t>产品简介： PL1000 防滑胶带——万能型防滑产品由具有弹性的聚合物基材和防滑颗粒制成，预涂压敏胶。采用高性能涂料将耐磨料粘附在高强度、耐候薄膜上，是一种经久耐用的万能型防滑产品。胶带使用时具有压力敏感和强力粘合性，能够快速粘合， 能极好地附着在各种材质的表面。</w:t>
      </w:r>
    </w:p>
    <w:p>
      <w:pPr>
        <w:ind w:left="1260" w:hanging="996" w:hangingChars="600"/>
        <w:rPr>
          <w:rFonts w:hint="eastAsia" w:ascii="思源黑体 CN Light" w:hAnsi="思源黑体 CN Light" w:eastAsia="思源黑体 CN Light" w:cs="思源黑体 CN Light"/>
          <w:b w:val="0"/>
          <w:color w:val="231F20"/>
          <w:spacing w:val="-7"/>
          <w:kern w:val="2"/>
          <w:sz w:val="18"/>
          <w:szCs w:val="18"/>
          <w:lang w:val="en-US" w:eastAsia="zh-CN" w:bidi="en-US"/>
        </w:rPr>
      </w:pPr>
    </w:p>
    <w:p>
      <w:pPr>
        <w:ind w:left="1260" w:hanging="996" w:hangingChars="600"/>
        <w:rPr>
          <w:rFonts w:hint="eastAsia" w:ascii="思源黑体 CN Light" w:hAnsi="思源黑体 CN Light" w:eastAsia="思源黑体 CN Light" w:cs="思源黑体 CN Light"/>
          <w:b w:val="0"/>
          <w:color w:val="231F20"/>
          <w:spacing w:val="-7"/>
          <w:kern w:val="2"/>
          <w:sz w:val="18"/>
          <w:szCs w:val="18"/>
          <w:lang w:val="en-US" w:eastAsia="zh-CN" w:bidi="en-US"/>
        </w:rPr>
      </w:pPr>
      <w:r>
        <w:rPr>
          <w:rFonts w:hint="eastAsia" w:ascii="思源黑体 CN Light" w:hAnsi="思源黑体 CN Light" w:eastAsia="思源黑体 CN Light" w:cs="思源黑体 CN Light"/>
          <w:b w:val="0"/>
          <w:color w:val="231F20"/>
          <w:spacing w:val="-7"/>
          <w:kern w:val="2"/>
          <w:sz w:val="18"/>
          <w:szCs w:val="18"/>
          <w:lang w:val="en-US" w:eastAsia="zh-CN" w:bidi="en-US"/>
        </w:rPr>
        <w:t>产品特性：良好防滑性、耐磨性；良好的强度；优异的耐候性；施工方便。</w:t>
      </w:r>
    </w:p>
    <w:p>
      <w:pPr>
        <w:ind w:left="1260" w:hanging="996" w:hangingChars="600"/>
        <w:rPr>
          <w:rFonts w:hint="eastAsia" w:ascii="思源黑体 CN Light" w:hAnsi="思源黑体 CN Light" w:eastAsia="思源黑体 CN Light" w:cs="思源黑体 CN Light"/>
          <w:b w:val="0"/>
          <w:color w:val="231F20"/>
          <w:spacing w:val="-7"/>
          <w:kern w:val="2"/>
          <w:sz w:val="18"/>
          <w:szCs w:val="18"/>
          <w:lang w:val="en-US" w:eastAsia="zh-CN" w:bidi="en-US"/>
        </w:rPr>
      </w:pPr>
    </w:p>
    <w:p>
      <w:pPr>
        <w:pStyle w:val="3"/>
        <w:spacing w:line="216" w:lineRule="exact"/>
        <w:ind w:left="830" w:hanging="830" w:hangingChars="500"/>
        <w:rPr>
          <w:b w:val="0"/>
        </w:rPr>
      </w:pPr>
      <w:r>
        <w:rPr>
          <w:rFonts w:hint="eastAsia"/>
          <w:b w:val="0"/>
          <w:color w:val="231F20"/>
          <w:spacing w:val="-7"/>
          <w:lang w:eastAsia="zh-CN"/>
        </w:rPr>
        <w:t>应用范围：</w:t>
      </w:r>
      <w:r>
        <w:rPr>
          <w:b w:val="0"/>
          <w:color w:val="231F20"/>
          <w:spacing w:val="-7"/>
        </w:rPr>
        <w:t>适用于各种场所的楼梯及其他特殊区域地面的防滑处理，如操场、娱乐场所、斜坡和人行道、游泳池岸、超市、工作场所、</w:t>
      </w:r>
      <w:r>
        <w:rPr>
          <w:b w:val="0"/>
          <w:color w:val="231F20"/>
          <w:spacing w:val="-11"/>
        </w:rPr>
        <w:t>脚踏板、轮船甲板、装卸码头、工厂、 危险地板、草坪修整设备、卡车、拖车和工业设备、健康</w:t>
      </w:r>
      <w:r>
        <w:rPr>
          <w:b w:val="0"/>
          <w:color w:val="231F20"/>
        </w:rPr>
        <w:t>/</w:t>
      </w:r>
      <w:r>
        <w:rPr>
          <w:b w:val="0"/>
          <w:color w:val="231F20"/>
          <w:spacing w:val="-4"/>
        </w:rPr>
        <w:t xml:space="preserve"> 锻炼设备、高尔夫球车、</w:t>
      </w:r>
      <w:r>
        <w:rPr>
          <w:b w:val="0"/>
          <w:color w:val="231F20"/>
        </w:rPr>
        <w:t>货车 / 公共汽车升降装置、露天看台、帆船和游艇、食品加工设备等。</w:t>
      </w:r>
    </w:p>
    <w:p>
      <w:pPr>
        <w:pStyle w:val="3"/>
        <w:spacing w:line="216" w:lineRule="exact"/>
        <w:ind w:left="830" w:hanging="900" w:hangingChars="500"/>
        <w:rPr>
          <w:b w:val="0"/>
        </w:rPr>
      </w:pPr>
    </w:p>
    <w:tbl>
      <w:tblPr>
        <w:tblStyle w:val="4"/>
        <w:tblpPr w:leftFromText="180" w:rightFromText="180" w:vertAnchor="text" w:horzAnchor="page" w:tblpX="2121" w:tblpY="236"/>
        <w:tblOverlap w:val="never"/>
        <w:tblW w:w="0" w:type="auto"/>
        <w:tblInd w:w="0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728"/>
        <w:gridCol w:w="2342"/>
        <w:gridCol w:w="1830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28" w:type="dxa"/>
            <w:vMerge w:val="restart"/>
          </w:tcPr>
          <w:p>
            <w:pPr>
              <w:pStyle w:val="6"/>
              <w:spacing w:before="283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性质</w:t>
            </w:r>
          </w:p>
        </w:tc>
        <w:tc>
          <w:tcPr>
            <w:tcW w:w="1728" w:type="dxa"/>
          </w:tcPr>
          <w:p>
            <w:pPr>
              <w:pStyle w:val="6"/>
              <w:spacing w:before="0" w:line="279" w:lineRule="exact"/>
              <w:ind w:left="0" w:right="527"/>
              <w:jc w:val="right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典型数据</w:t>
            </w:r>
          </w:p>
        </w:tc>
        <w:tc>
          <w:tcPr>
            <w:tcW w:w="2342" w:type="dxa"/>
            <w:vMerge w:val="restart"/>
          </w:tcPr>
          <w:p>
            <w:pPr>
              <w:pStyle w:val="6"/>
              <w:spacing w:before="283"/>
              <w:ind w:left="600" w:right="586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单位</w:t>
            </w:r>
          </w:p>
        </w:tc>
        <w:tc>
          <w:tcPr>
            <w:tcW w:w="1830" w:type="dxa"/>
            <w:vMerge w:val="restart"/>
          </w:tcPr>
          <w:p>
            <w:pPr>
              <w:pStyle w:val="6"/>
              <w:spacing w:before="283"/>
              <w:ind w:left="633" w:right="0"/>
              <w:jc w:val="left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测试方法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>
            <w:pPr>
              <w:pStyle w:val="6"/>
              <w:ind w:left="0" w:right="578"/>
              <w:jc w:val="right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PL1000</w:t>
            </w:r>
          </w:p>
        </w:tc>
        <w:tc>
          <w:tcPr>
            <w:tcW w:w="23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28" w:type="dxa"/>
          </w:tcPr>
          <w:p>
            <w:pPr>
              <w:pStyle w:val="6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颜色</w:t>
            </w:r>
          </w:p>
        </w:tc>
        <w:tc>
          <w:tcPr>
            <w:tcW w:w="1728" w:type="dxa"/>
          </w:tcPr>
          <w:p>
            <w:pPr>
              <w:pStyle w:val="6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黑色</w:t>
            </w:r>
          </w:p>
        </w:tc>
        <w:tc>
          <w:tcPr>
            <w:tcW w:w="2342" w:type="dxa"/>
          </w:tcPr>
          <w:p>
            <w:pPr>
              <w:pStyle w:val="6"/>
              <w:ind w:left="600" w:right="586"/>
              <w:rPr>
                <w:b w:val="0"/>
                <w:sz w:val="16"/>
              </w:rPr>
            </w:pPr>
            <w:r>
              <w:rPr>
                <w:b w:val="0"/>
                <w:color w:val="231F20"/>
                <w:w w:val="110"/>
                <w:sz w:val="16"/>
              </w:rPr>
              <w:t>——</w:t>
            </w:r>
          </w:p>
        </w:tc>
        <w:tc>
          <w:tcPr>
            <w:tcW w:w="1830" w:type="dxa"/>
          </w:tcPr>
          <w:p>
            <w:pPr>
              <w:pStyle w:val="6"/>
              <w:ind w:left="325" w:right="311"/>
              <w:rPr>
                <w:b w:val="0"/>
                <w:sz w:val="16"/>
              </w:rPr>
            </w:pPr>
            <w:r>
              <w:rPr>
                <w:b w:val="0"/>
                <w:color w:val="231F20"/>
                <w:w w:val="110"/>
                <w:sz w:val="16"/>
              </w:rPr>
              <w:t>——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28" w:type="dxa"/>
          </w:tcPr>
          <w:p>
            <w:pPr>
              <w:pStyle w:val="6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厚度</w:t>
            </w:r>
          </w:p>
        </w:tc>
        <w:tc>
          <w:tcPr>
            <w:tcW w:w="1728" w:type="dxa"/>
          </w:tcPr>
          <w:p>
            <w:pPr>
              <w:pStyle w:val="6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0.8</w:t>
            </w:r>
          </w:p>
        </w:tc>
        <w:tc>
          <w:tcPr>
            <w:tcW w:w="2342" w:type="dxa"/>
          </w:tcPr>
          <w:p>
            <w:pPr>
              <w:pStyle w:val="6"/>
              <w:ind w:left="600" w:right="586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mm</w:t>
            </w:r>
          </w:p>
        </w:tc>
        <w:tc>
          <w:tcPr>
            <w:tcW w:w="1830" w:type="dxa"/>
          </w:tcPr>
          <w:p>
            <w:pPr>
              <w:pStyle w:val="6"/>
              <w:ind w:left="325" w:right="311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GB/T 7125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28" w:type="dxa"/>
          </w:tcPr>
          <w:p>
            <w:pPr>
              <w:pStyle w:val="6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粘结性</w:t>
            </w:r>
          </w:p>
        </w:tc>
        <w:tc>
          <w:tcPr>
            <w:tcW w:w="1728" w:type="dxa"/>
          </w:tcPr>
          <w:p>
            <w:pPr>
              <w:pStyle w:val="6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16</w:t>
            </w:r>
          </w:p>
        </w:tc>
        <w:tc>
          <w:tcPr>
            <w:tcW w:w="2342" w:type="dxa"/>
          </w:tcPr>
          <w:p>
            <w:pPr>
              <w:pStyle w:val="6"/>
              <w:ind w:left="600" w:right="586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N/25mm</w:t>
            </w:r>
          </w:p>
        </w:tc>
        <w:tc>
          <w:tcPr>
            <w:tcW w:w="1830" w:type="dxa"/>
          </w:tcPr>
          <w:p>
            <w:pPr>
              <w:pStyle w:val="6"/>
              <w:ind w:left="325" w:right="311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GB/T24717</w:t>
            </w:r>
          </w:p>
        </w:tc>
      </w:tr>
    </w:tbl>
    <w:p>
      <w:pPr>
        <w:pStyle w:val="3"/>
        <w:spacing w:before="68"/>
        <w:rPr>
          <w:rFonts w:hint="eastAsia" w:ascii="思源黑体 CN Regular" w:eastAsia="思源黑体 CN Regular"/>
        </w:rPr>
      </w:pP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1499235</wp:posOffset>
                </wp:positionH>
                <wp:positionV relativeFrom="paragraph">
                  <wp:posOffset>192405</wp:posOffset>
                </wp:positionV>
                <wp:extent cx="5380990" cy="15151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0990" cy="151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05pt;margin-top:15.15pt;height:119.3pt;width:423.7pt;mso-position-horizontal-relative:page;z-index:251711488;mso-width-relative:page;mso-height-relative:page;" filled="f" stroked="f" coordsize="21600,21600" o:gfxdata="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Fql8tkAAAALAQAADwAAAAAAAAABACAAAAAiAAAAZHJzL2Rvd25yZXYueG1sUEsB&#10;AhQAFAAAAAgAh07iQOyKPg6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思源黑体 CN Regular" w:eastAsia="思源黑体 CN Regular"/>
          <w:color w:val="231F20"/>
        </w:rPr>
        <w:t>性能指标：</w:t>
      </w:r>
    </w:p>
    <w:p>
      <w:pPr>
        <w:ind w:left="1260" w:hanging="1260" w:hangingChars="600"/>
        <w:rPr>
          <w:b w:val="0"/>
          <w:color w:val="231F20"/>
        </w:rPr>
      </w:pPr>
    </w:p>
    <w:p>
      <w:pPr>
        <w:ind w:left="1260" w:hanging="1260" w:hangingChars="600"/>
        <w:rPr>
          <w:b w:val="0"/>
          <w:color w:val="231F20"/>
        </w:rPr>
      </w:pPr>
    </w:p>
    <w:p>
      <w:pPr>
        <w:ind w:left="1260" w:hanging="1260" w:hangingChars="600"/>
        <w:rPr>
          <w:b w:val="0"/>
          <w:color w:val="231F20"/>
        </w:rPr>
      </w:pPr>
    </w:p>
    <w:p>
      <w:pPr>
        <w:ind w:left="1260" w:hanging="1260" w:hangingChars="600"/>
        <w:rPr>
          <w:b w:val="0"/>
          <w:color w:val="231F20"/>
        </w:rPr>
      </w:pPr>
    </w:p>
    <w:p>
      <w:pPr>
        <w:pStyle w:val="3"/>
        <w:spacing w:before="1" w:line="342" w:lineRule="exact"/>
        <w:rPr>
          <w:b w:val="0"/>
        </w:rPr>
      </w:pPr>
      <w:r>
        <w:drawing>
          <wp:anchor distT="0" distB="0" distL="0" distR="0" simplePos="0" relativeHeight="251764736" behindDoc="0" locked="0" layoutInCell="1" allowOverlap="1">
            <wp:simplePos x="0" y="0"/>
            <wp:positionH relativeFrom="page">
              <wp:posOffset>4568825</wp:posOffset>
            </wp:positionH>
            <wp:positionV relativeFrom="paragraph">
              <wp:posOffset>4445</wp:posOffset>
            </wp:positionV>
            <wp:extent cx="2087880" cy="1496060"/>
            <wp:effectExtent l="0" t="0" r="7620" b="8890"/>
            <wp:wrapNone/>
            <wp:docPr id="4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97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思源黑体 CN Regular" w:eastAsia="思源黑体 CN Regular"/>
          <w:color w:val="231F20"/>
          <w:spacing w:val="1"/>
        </w:rPr>
        <w:t>常规规格：</w:t>
      </w:r>
      <w:r>
        <w:rPr>
          <w:b w:val="0"/>
          <w:color w:val="231F20"/>
        </w:rPr>
        <w:t>标准长度 :  10m</w:t>
      </w:r>
    </w:p>
    <w:p>
      <w:pPr>
        <w:ind w:left="1260" w:hanging="1260" w:hangingChars="600"/>
        <w:rPr>
          <w:rFonts w:ascii="思源黑体 CN Light" w:hAnsi="思源黑体 CN Light" w:eastAsia="思源黑体 CN Light" w:cs="思源黑体 CN Light"/>
          <w:b w:val="0"/>
          <w:color w:val="231F20"/>
          <w:kern w:val="2"/>
          <w:sz w:val="18"/>
          <w:szCs w:val="18"/>
          <w:lang w:val="en-US" w:eastAsia="en-US" w:bidi="en-US"/>
        </w:rPr>
      </w:pPr>
      <w:r>
        <w:rPr>
          <w:rFonts w:hint="eastAsia"/>
          <w:b w:val="0"/>
          <w:color w:val="231F20"/>
          <w:lang w:val="en-US" w:eastAsia="zh-CN"/>
        </w:rPr>
        <w:t xml:space="preserve">          </w:t>
      </w:r>
      <w:r>
        <w:rPr>
          <w:rFonts w:ascii="思源黑体 CN Light" w:hAnsi="思源黑体 CN Light" w:eastAsia="思源黑体 CN Light" w:cs="思源黑体 CN Light"/>
          <w:b w:val="0"/>
          <w:color w:val="231F20"/>
          <w:kern w:val="2"/>
          <w:sz w:val="18"/>
          <w:szCs w:val="18"/>
          <w:lang w:val="en-US" w:eastAsia="en-US" w:bidi="en-US"/>
        </w:rPr>
        <w:t>标准宽度 : 2.5cm，5.0cm，可根据用户定制的尺寸裁切。</w:t>
      </w:r>
    </w:p>
    <w:p>
      <w:pPr>
        <w:ind w:left="1260" w:hanging="1080" w:hangingChars="600"/>
        <w:rPr>
          <w:rFonts w:ascii="思源黑体 CN Light" w:hAnsi="思源黑体 CN Light" w:eastAsia="思源黑体 CN Light" w:cs="思源黑体 CN Light"/>
          <w:b w:val="0"/>
          <w:color w:val="231F20"/>
          <w:kern w:val="2"/>
          <w:sz w:val="18"/>
          <w:szCs w:val="18"/>
          <w:lang w:val="en-US" w:eastAsia="en-US" w:bidi="en-US"/>
        </w:rPr>
      </w:pPr>
      <w:r>
        <w:rPr>
          <w:rFonts w:hint="eastAsia" w:ascii="思源黑体 CN Light" w:hAnsi="思源黑体 CN Light" w:eastAsia="思源黑体 CN Light" w:cs="思源黑体 CN Light"/>
          <w:b w:val="0"/>
          <w:color w:val="231F20"/>
          <w:kern w:val="2"/>
          <w:sz w:val="18"/>
          <w:szCs w:val="18"/>
          <w:lang w:val="en-US" w:eastAsia="zh-CN" w:bidi="en-US"/>
        </w:rPr>
        <w:t xml:space="preserve">            </w:t>
      </w:r>
      <w:r>
        <w:rPr>
          <w:rFonts w:ascii="思源黑体 CN Light" w:hAnsi="思源黑体 CN Light" w:eastAsia="思源黑体 CN Light" w:cs="思源黑体 CN Light"/>
          <w:b w:val="0"/>
          <w:color w:val="231F20"/>
          <w:kern w:val="2"/>
          <w:sz w:val="18"/>
          <w:szCs w:val="18"/>
          <w:lang w:val="en-US" w:eastAsia="en-US" w:bidi="en-US"/>
        </w:rPr>
        <w:t>产品附带隔离纸</w:t>
      </w:r>
    </w:p>
    <w:p>
      <w:pPr>
        <w:pStyle w:val="3"/>
        <w:spacing w:before="271" w:line="342" w:lineRule="exact"/>
        <w:rPr>
          <w:b w:val="0"/>
        </w:rPr>
      </w:pPr>
      <w:r>
        <w:rPr>
          <w:rFonts w:hint="eastAsia" w:ascii="思源黑体 CN Regular" w:eastAsia="思源黑体 CN Regular"/>
          <w:color w:val="231F20"/>
        </w:rPr>
        <w:t xml:space="preserve">使用方法： </w:t>
      </w:r>
      <w:r>
        <w:rPr>
          <w:b w:val="0"/>
          <w:color w:val="231F20"/>
        </w:rPr>
        <w:t>1. 表面必须清洁干燥，如有需要，可涂上 P120 底胶；</w:t>
      </w:r>
    </w:p>
    <w:p>
      <w:pPr>
        <w:pStyle w:val="7"/>
        <w:numPr>
          <w:ilvl w:val="2"/>
          <w:numId w:val="1"/>
        </w:numPr>
        <w:tabs>
          <w:tab w:val="left" w:pos="1294"/>
        </w:tabs>
        <w:spacing w:before="0" w:after="0" w:line="319" w:lineRule="exact"/>
        <w:ind w:left="1293" w:right="0" w:hanging="182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依照所需尺码剪裁胶带并撕去防粘底纸；</w:t>
      </w:r>
    </w:p>
    <w:p>
      <w:pPr>
        <w:pStyle w:val="7"/>
        <w:numPr>
          <w:ilvl w:val="2"/>
          <w:numId w:val="1"/>
        </w:numPr>
        <w:tabs>
          <w:tab w:val="left" w:pos="1294"/>
        </w:tabs>
        <w:spacing w:before="0" w:after="0" w:line="320" w:lineRule="exact"/>
        <w:ind w:left="1293" w:right="0" w:hanging="182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平稳铺贴于表面，确保胶带与表面完全贴合；胶带的粘性在 23℃性能最佳。</w:t>
      </w:r>
    </w:p>
    <w:p>
      <w:pPr>
        <w:pStyle w:val="7"/>
        <w:numPr>
          <w:ilvl w:val="2"/>
          <w:numId w:val="1"/>
        </w:numPr>
        <w:tabs>
          <w:tab w:val="left" w:pos="1294"/>
        </w:tabs>
        <w:spacing w:before="0" w:after="0" w:line="335" w:lineRule="exact"/>
        <w:ind w:left="1293" w:right="0" w:hanging="182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最后用滚筒或橡胶锤碾压或击打，使胶带贴实。</w:t>
      </w:r>
    </w:p>
    <w:p>
      <w:pPr>
        <w:pStyle w:val="3"/>
        <w:spacing w:before="242"/>
        <w:rPr>
          <w:b w:val="0"/>
          <w:color w:val="231F20"/>
        </w:rPr>
      </w:pPr>
      <w:r>
        <w:rPr>
          <w:rFonts w:hint="eastAsia" w:ascii="思源黑体 CN Regular" w:eastAsia="思源黑体 CN Regular"/>
          <w:color w:val="231F20"/>
        </w:rPr>
        <w:t>存储期：</w:t>
      </w:r>
      <w:r>
        <w:rPr>
          <w:b w:val="0"/>
          <w:color w:val="231F20"/>
        </w:rPr>
        <w:t>在常温状况下，储存 24 个月。</w:t>
      </w:r>
    </w:p>
    <w:p>
      <w:pPr>
        <w:pStyle w:val="3"/>
        <w:spacing w:before="242"/>
        <w:rPr>
          <w:rFonts w:hint="eastAsia"/>
          <w:b w:val="0"/>
          <w:color w:val="231F20"/>
        </w:rPr>
      </w:pPr>
      <w:bookmarkStart w:id="0" w:name="_GoBack"/>
      <w:bookmarkEnd w:id="0"/>
      <w:r>
        <w:rPr>
          <w:rFonts w:hint="eastAsia"/>
          <w:b w:val="0"/>
          <w:color w:val="231F20"/>
          <w:lang w:val="en-US" w:eastAsia="zh-CN"/>
        </w:rPr>
        <w:t xml:space="preserve">以上所有数据及信息是基于我们的测试结果，用户在使用之前必须针对所期望的用途确定产品的适用性。 </w:t>
      </w:r>
    </w:p>
    <w:p>
      <w:pPr>
        <w:pStyle w:val="3"/>
        <w:spacing w:before="248"/>
        <w:ind w:left="160"/>
        <w:rPr>
          <w:b w:val="0"/>
        </w:rPr>
      </w:pPr>
    </w:p>
    <w:p>
      <w:pPr>
        <w:ind w:left="1260" w:hanging="1080" w:hangingChars="600"/>
        <w:rPr>
          <w:rFonts w:hint="default" w:ascii="思源黑体 CN Light" w:hAnsi="思源黑体 CN Light" w:eastAsia="思源黑体 CN Light" w:cs="思源黑体 CN Light"/>
          <w:b w:val="0"/>
          <w:color w:val="231F20"/>
          <w:kern w:val="2"/>
          <w:sz w:val="18"/>
          <w:szCs w:val="18"/>
          <w:lang w:val="en-US" w:eastAsia="zh-CN" w:bidi="en-US"/>
        </w:rPr>
      </w:pPr>
    </w:p>
    <w:sectPr>
      <w:pgSz w:w="11906" w:h="16838"/>
      <w:pgMar w:top="1440" w:right="850" w:bottom="144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思源黑体 CN Heavy">
    <w:altName w:val="黑体"/>
    <w:panose1 w:val="020B0A00000000000000"/>
    <w:charset w:val="80"/>
    <w:family w:val="swiss"/>
    <w:pitch w:val="default"/>
    <w:sig w:usb0="00000000" w:usb1="00000000" w:usb2="00000016" w:usb3="00000000" w:csb0="60060107" w:csb1="00000000"/>
  </w:font>
  <w:font w:name="思源黑体 CN Light">
    <w:altName w:val="黑体"/>
    <w:panose1 w:val="020B0300000000000000"/>
    <w:charset w:val="80"/>
    <w:family w:val="swiss"/>
    <w:pitch w:val="default"/>
    <w:sig w:usb0="00000000" w:usb1="00000000" w:usb2="00000016" w:usb3="00000000" w:csb0="60060107" w:csb1="00000000"/>
  </w:font>
  <w:font w:name="思源黑体 CN Normal">
    <w:altName w:val="黑体"/>
    <w:panose1 w:val="020B0400000000000000"/>
    <w:charset w:val="80"/>
    <w:family w:val="swiss"/>
    <w:pitch w:val="default"/>
    <w:sig w:usb0="00000000" w:usb1="00000000" w:usb2="00000016" w:usb3="00000000" w:csb0="60060107" w:csb1="00000000"/>
  </w:font>
  <w:font w:name="思源黑体 CN Regular">
    <w:altName w:val="黑体"/>
    <w:panose1 w:val="020B0500000000000000"/>
    <w:charset w:val="80"/>
    <w:family w:val="swiss"/>
    <w:pitch w:val="default"/>
    <w:sig w:usb0="00000000" w:usb1="00000000" w:usb2="00000016" w:usb3="00000000" w:csb0="60060107" w:csb1="00000000"/>
  </w:font>
  <w:font w:name="黑体">
    <w:panose1 w:val="02010600030101010101"/>
    <w:charset w:val="80"/>
    <w:family w:val="swiss"/>
    <w:pitch w:val="default"/>
    <w:sig w:usb0="00000001" w:usb1="080E0000" w:usb2="00000000" w:usb3="00000000" w:csb0="00040000" w:csb1="00000000"/>
  </w:font>
  <w:font w:name="思源黑体 CN Ligh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upperLetter"/>
      <w:lvlText w:val="%1."/>
      <w:lvlJc w:val="left"/>
      <w:pPr>
        <w:ind w:left="160" w:hanging="204"/>
        <w:jc w:val="left"/>
      </w:pPr>
      <w:rPr>
        <w:rFonts w:hint="default" w:ascii="思源黑体 CN Light" w:hAnsi="思源黑体 CN Light" w:eastAsia="思源黑体 CN Light" w:cs="思源黑体 CN Light"/>
        <w:color w:val="231F20"/>
        <w:spacing w:val="0"/>
        <w:w w:val="100"/>
        <w:sz w:val="18"/>
        <w:szCs w:val="18"/>
        <w:lang w:val="en-US" w:eastAsia="en-US" w:bidi="en-US"/>
      </w:rPr>
    </w:lvl>
    <w:lvl w:ilvl="1" w:tentative="0">
      <w:start w:val="2"/>
      <w:numFmt w:val="decimal"/>
      <w:lvlText w:val="%2."/>
      <w:lvlJc w:val="left"/>
      <w:pPr>
        <w:ind w:left="1293" w:hanging="182"/>
        <w:jc w:val="right"/>
      </w:pPr>
      <w:rPr>
        <w:rFonts w:hint="default" w:ascii="思源黑体 CN Light" w:hAnsi="思源黑体 CN Light" w:eastAsia="思源黑体 CN Light" w:cs="思源黑体 CN Light"/>
        <w:color w:val="231F20"/>
        <w:w w:val="100"/>
        <w:sz w:val="18"/>
        <w:szCs w:val="18"/>
        <w:lang w:val="en-US" w:eastAsia="en-US" w:bidi="en-US"/>
      </w:rPr>
    </w:lvl>
    <w:lvl w:ilvl="2" w:tentative="0">
      <w:start w:val="2"/>
      <w:numFmt w:val="decimal"/>
      <w:lvlText w:val="%3."/>
      <w:lvlJc w:val="left"/>
      <w:pPr>
        <w:ind w:left="1293" w:hanging="182"/>
        <w:jc w:val="left"/>
      </w:pPr>
      <w:rPr>
        <w:rFonts w:hint="default" w:ascii="思源黑体 CN Light" w:hAnsi="思源黑体 CN Light" w:eastAsia="思源黑体 CN Light" w:cs="思源黑体 CN Light"/>
        <w:color w:val="231F20"/>
        <w:w w:val="100"/>
        <w:sz w:val="18"/>
        <w:szCs w:val="18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-847" w:hanging="18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-1920" w:hanging="18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-2993" w:hanging="18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-4066" w:hanging="18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-5139" w:hanging="18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-6213" w:hanging="18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547B0"/>
    <w:rsid w:val="46DE78AF"/>
    <w:rsid w:val="5AC1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192"/>
      <w:ind w:left="160"/>
      <w:outlineLvl w:val="2"/>
    </w:pPr>
    <w:rPr>
      <w:rFonts w:ascii="思源黑体 CN Heavy" w:hAnsi="思源黑体 CN Heavy" w:eastAsia="思源黑体 CN Heavy" w:cs="思源黑体 CN Heavy"/>
      <w:b/>
      <w:bCs/>
      <w:sz w:val="28"/>
      <w:szCs w:val="28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思源黑体 CN Light" w:hAnsi="思源黑体 CN Light" w:eastAsia="思源黑体 CN Light" w:cs="思源黑体 CN Light"/>
      <w:sz w:val="18"/>
      <w:szCs w:val="18"/>
      <w:lang w:val="en-US" w:eastAsia="en-US" w:bidi="en-US"/>
    </w:rPr>
  </w:style>
  <w:style w:type="paragraph" w:customStyle="1" w:styleId="6">
    <w:name w:val="Table Paragraph"/>
    <w:basedOn w:val="1"/>
    <w:qFormat/>
    <w:uiPriority w:val="1"/>
    <w:pPr>
      <w:spacing w:before="58"/>
      <w:ind w:left="443" w:right="429"/>
      <w:jc w:val="center"/>
    </w:pPr>
    <w:rPr>
      <w:rFonts w:ascii="思源黑体 CN Normal" w:hAnsi="思源黑体 CN Normal" w:eastAsia="思源黑体 CN Normal" w:cs="思源黑体 CN Normal"/>
      <w:lang w:val="en-US" w:eastAsia="en-US" w:bidi="en-US"/>
    </w:rPr>
  </w:style>
  <w:style w:type="paragraph" w:styleId="7">
    <w:name w:val="List Paragraph"/>
    <w:basedOn w:val="1"/>
    <w:qFormat/>
    <w:uiPriority w:val="1"/>
    <w:pPr>
      <w:ind w:left="1293" w:hanging="182"/>
    </w:pPr>
    <w:rPr>
      <w:rFonts w:ascii="思源黑体 CN Light" w:hAnsi="思源黑体 CN Light" w:eastAsia="思源黑体 CN Light" w:cs="思源黑体 CN Light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2022-05-06T01:24:04Z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